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755E5" w14:textId="77777777" w:rsidR="006778C2" w:rsidRDefault="00B61FE6">
      <w:pPr>
        <w:spacing w:before="240" w:after="240" w:line="480" w:lineRule="auto"/>
        <w:jc w:val="center"/>
      </w:pPr>
      <w:r>
        <w:rPr>
          <w:b/>
          <w:bCs/>
          <w:sz w:val="24"/>
          <w:szCs w:val="24"/>
        </w:rPr>
        <w:t>INTRODUCTION</w:t>
      </w:r>
    </w:p>
    <w:p w14:paraId="53A71578" w14:textId="77777777" w:rsidR="006778C2" w:rsidRDefault="00B61FE6">
      <w:pPr>
        <w:spacing w:line="480" w:lineRule="auto"/>
        <w:ind w:firstLine="720"/>
      </w:pPr>
      <w:r>
        <w:rPr>
          <w:sz w:val="24"/>
          <w:szCs w:val="24"/>
        </w:rPr>
        <w:t xml:space="preserve">The United States committed a </w:t>
      </w:r>
      <w:r>
        <w:rPr>
          <w:i/>
          <w:iCs/>
          <w:sz w:val="24"/>
          <w:szCs w:val="24"/>
        </w:rPr>
        <w:t>Brady</w:t>
      </w:r>
      <w:r>
        <w:rPr>
          <w:sz w:val="24"/>
          <w:szCs w:val="24"/>
        </w:rPr>
        <w:t xml:space="preserve"> violation against Hosseinipour because it failed to make two disclosures at trial. First, it did not disclose that it had instructed Jerry Reynolds to remove $28,670,985.50 in commissions from Exhibit 101-I. The evidence below shows that 101-I directly resulted from the prosecutors’ direction, and the United States does not deny this. It simply ignores the issue. Instead, it argues that there was a distinction at trial between commissions “earned” and commissions “paid.” No such distinction was ever disclosed at or before trial. The prosecutors and their witnesses made no such distinction and used the words interchangeably. Regardless, the post-trial justification makes no sense: 101-I omitted that $28 million from the “gain” column but counted the purchases made with that same $28 million in the “loss” column. That undisclosed fact skewed the percentage of participants who lost money, producing the 96% loss rate the United States relied on at trial and on direct appeal.</w:t>
      </w:r>
    </w:p>
    <w:p w14:paraId="4BEF9048" w14:textId="77777777" w:rsidR="006778C2" w:rsidRDefault="00B61FE6">
      <w:pPr>
        <w:spacing w:line="480" w:lineRule="auto"/>
        <w:ind w:firstLine="720"/>
      </w:pPr>
      <w:r>
        <w:rPr>
          <w:sz w:val="24"/>
          <w:szCs w:val="24"/>
        </w:rPr>
        <w:t xml:space="preserve">Second, the United States failed to disclose the actual calculation from Reynolds’s system: 37.4% of I2G participants gained more money than they spent. It attempts to excuse that failure by arguing Hosseinipour should have figured these things out on her own. That is not an excuse under </w:t>
      </w:r>
      <w:r>
        <w:rPr>
          <w:i/>
          <w:iCs/>
          <w:sz w:val="24"/>
          <w:szCs w:val="24"/>
        </w:rPr>
        <w:t>Brady</w:t>
      </w:r>
      <w:r>
        <w:rPr>
          <w:sz w:val="24"/>
          <w:szCs w:val="24"/>
        </w:rPr>
        <w:t xml:space="preserve"> and its progeny. When a jury does not know that critical prosecution evidence is false because the prosecution instructed it to be manipulated, the trial is not fair. Justice requires a new trial for Hosseinipour.</w:t>
      </w:r>
    </w:p>
    <w:p w14:paraId="407F0561" w14:textId="77777777" w:rsidR="006778C2" w:rsidRDefault="00B61FE6">
      <w:pPr>
        <w:spacing w:before="240" w:after="240" w:line="480" w:lineRule="auto"/>
        <w:jc w:val="center"/>
      </w:pPr>
      <w:r>
        <w:rPr>
          <w:b/>
          <w:bCs/>
          <w:sz w:val="24"/>
          <w:szCs w:val="24"/>
        </w:rPr>
        <w:t>ARGUMENT</w:t>
      </w:r>
    </w:p>
    <w:p w14:paraId="63FE314E" w14:textId="77777777" w:rsidR="006778C2" w:rsidRDefault="00B61FE6">
      <w:pPr>
        <w:spacing w:before="240" w:after="120" w:line="480" w:lineRule="auto"/>
      </w:pPr>
      <w:r>
        <w:rPr>
          <w:b/>
          <w:bCs/>
          <w:sz w:val="24"/>
          <w:szCs w:val="24"/>
        </w:rPr>
        <w:t>I.</w:t>
      </w:r>
      <w:r>
        <w:rPr>
          <w:b/>
          <w:bCs/>
          <w:sz w:val="24"/>
          <w:szCs w:val="24"/>
        </w:rPr>
        <w:tab/>
        <w:t xml:space="preserve">The district court erred in denying </w:t>
      </w:r>
      <w:proofErr w:type="spellStart"/>
      <w:r>
        <w:rPr>
          <w:b/>
          <w:bCs/>
          <w:sz w:val="24"/>
          <w:szCs w:val="24"/>
        </w:rPr>
        <w:t>Hosseinipour’s</w:t>
      </w:r>
      <w:proofErr w:type="spellEnd"/>
      <w:r>
        <w:rPr>
          <w:b/>
          <w:bCs/>
          <w:sz w:val="24"/>
          <w:szCs w:val="24"/>
        </w:rPr>
        <w:t xml:space="preserve"> Brady claim.</w:t>
      </w:r>
    </w:p>
    <w:p w14:paraId="29B659B9" w14:textId="77777777" w:rsidR="006778C2" w:rsidRDefault="00B61FE6">
      <w:pPr>
        <w:spacing w:line="480" w:lineRule="auto"/>
        <w:ind w:firstLine="720"/>
      </w:pPr>
      <w:r>
        <w:rPr>
          <w:sz w:val="24"/>
          <w:szCs w:val="24"/>
        </w:rPr>
        <w:t xml:space="preserve">The parties agree that whether a </w:t>
      </w:r>
      <w:r>
        <w:rPr>
          <w:i/>
          <w:iCs/>
          <w:sz w:val="24"/>
          <w:szCs w:val="24"/>
        </w:rPr>
        <w:t>Brady</w:t>
      </w:r>
      <w:r>
        <w:rPr>
          <w:sz w:val="24"/>
          <w:szCs w:val="24"/>
        </w:rPr>
        <w:t xml:space="preserve"> violation occurred is reviewed de novo. Appellee Br. 14. The claim below rested on the failure to disclose two categories of evidence: </w:t>
      </w:r>
      <w:r>
        <w:rPr>
          <w:sz w:val="24"/>
          <w:szCs w:val="24"/>
        </w:rPr>
        <w:lastRenderedPageBreak/>
        <w:t>(1) the prosecutors’ instruction to Reynolds to filter out commissions earned by the 7,023 participants who appear as net losers on 101-I, and (2) that Reynolds’s system indicated more than 37% of I2G participants were net gainers. The United States does not deny that it failed to disclose either. It does not address its instruction to Reynolds at all, and it distracts from the second by recharacterizing what the figure measures.</w:t>
      </w:r>
    </w:p>
    <w:p w14:paraId="539CE69F" w14:textId="77777777" w:rsidR="006778C2" w:rsidRDefault="00B61FE6">
      <w:pPr>
        <w:spacing w:before="240" w:after="120" w:line="480" w:lineRule="auto"/>
        <w:ind w:left="720"/>
      </w:pPr>
      <w:r>
        <w:rPr>
          <w:b/>
          <w:bCs/>
          <w:sz w:val="24"/>
          <w:szCs w:val="24"/>
        </w:rPr>
        <w:t>A.</w:t>
      </w:r>
      <w:r>
        <w:rPr>
          <w:b/>
          <w:bCs/>
          <w:sz w:val="24"/>
          <w:szCs w:val="24"/>
        </w:rPr>
        <w:tab/>
        <w:t>Proof in the record establishes both categories of evidence.</w:t>
      </w:r>
    </w:p>
    <w:p w14:paraId="4548487D" w14:textId="77777777" w:rsidR="006778C2" w:rsidRDefault="00B61FE6">
      <w:pPr>
        <w:spacing w:line="480" w:lineRule="auto"/>
        <w:ind w:firstLine="720"/>
      </w:pPr>
      <w:r>
        <w:rPr>
          <w:sz w:val="24"/>
          <w:szCs w:val="24"/>
        </w:rPr>
        <w:t xml:space="preserve">The mechanism is visible in the exhibits. Exhibit 101-F, the source of 101-I’s gain column, is USA-007240 filtered to a single field. Every record in USA-007240 carries a </w:t>
      </w:r>
      <w:proofErr w:type="spellStart"/>
      <w:r>
        <w:rPr>
          <w:sz w:val="24"/>
          <w:szCs w:val="24"/>
        </w:rPr>
        <w:t>CheckTypeID</w:t>
      </w:r>
      <w:proofErr w:type="spellEnd"/>
      <w:r>
        <w:rPr>
          <w:sz w:val="24"/>
          <w:szCs w:val="24"/>
        </w:rPr>
        <w:t>. Exhibit 101-F consists of one of its three values and nothing else. The selection removed 51,727 records of commissions transferred within the system and 3,128 records of commissions spent on I2G product — 54,982 records totaling $28,670,985.50.</w:t>
      </w:r>
    </w:p>
    <w:p w14:paraId="0111BE61" w14:textId="77777777" w:rsidR="006778C2" w:rsidRDefault="00B61FE6">
      <w:pPr>
        <w:spacing w:line="480" w:lineRule="auto"/>
        <w:ind w:firstLine="720"/>
      </w:pPr>
      <w:r>
        <w:rPr>
          <w:sz w:val="24"/>
          <w:szCs w:val="24"/>
        </w:rPr>
        <w:t>Reynolds described both categories. Asked whether “Check created for funds transfer for purchase” meant that “commissions earned by the IBO were utilized for another purchase from I2G,” he answered yes, and confirmed that “[t]</w:t>
      </w:r>
      <w:proofErr w:type="spellStart"/>
      <w:r>
        <w:rPr>
          <w:sz w:val="24"/>
          <w:szCs w:val="24"/>
        </w:rPr>
        <w:t>hese</w:t>
      </w:r>
      <w:proofErr w:type="spellEnd"/>
      <w:r>
        <w:rPr>
          <w:sz w:val="24"/>
          <w:szCs w:val="24"/>
        </w:rPr>
        <w:t xml:space="preserve"> type of transactions would have been filtered out of” the number 101-I reports. (R.721-2,#11428.) He gave the same answers for transfers between participants. </w:t>
      </w:r>
      <w:r>
        <w:rPr>
          <w:i/>
          <w:iCs/>
          <w:sz w:val="24"/>
          <w:szCs w:val="24"/>
        </w:rPr>
        <w:t>Id.</w:t>
      </w:r>
    </w:p>
    <w:p w14:paraId="20C12FFC" w14:textId="77777777" w:rsidR="006778C2" w:rsidRDefault="00B61FE6">
      <w:pPr>
        <w:spacing w:line="480" w:lineRule="auto"/>
        <w:ind w:firstLine="720"/>
      </w:pPr>
      <w:r>
        <w:rPr>
          <w:sz w:val="24"/>
          <w:szCs w:val="24"/>
        </w:rPr>
        <w:t xml:space="preserve">The record also shows who directed it. Reynolds testified that “the government asked you to get various information from spreadsheets or from data in the I2G system.” (R.498,#4209.) He testified that the spreadsheets were produced “by subpoena from the government,” at a cost the government “reimbursed.” (Id. at #4216.) The prosecutor told the district court that Reynolds said USA-007240 “needs to be corrected” and “has problems,” and that “he produced the corrected version . . . that was 101-F that was used at trial.” (R.718,#11345.) </w:t>
      </w:r>
      <w:r w:rsidRPr="007D1616">
        <w:rPr>
          <w:sz w:val="24"/>
          <w:szCs w:val="24"/>
          <w:highlight w:val="yellow"/>
        </w:rPr>
        <w:t xml:space="preserve">The same practice appears at trial. Opposing the admission of a Reynolds commission chart, the prosecutor told the court there were “issues with this chart, and that is why it was not used, and we worked with Jerry Reynolds to get more accurate information.” </w:t>
      </w:r>
      <w:r w:rsidRPr="007D1616">
        <w:rPr>
          <w:sz w:val="24"/>
          <w:szCs w:val="24"/>
          <w:highlight w:val="yellow"/>
        </w:rPr>
        <w:lastRenderedPageBreak/>
        <w:t>(R.688,#9056.) The order itself finds that the United States “subpoenaed specific data from the database.” (R.865,#12486.)</w:t>
      </w:r>
    </w:p>
    <w:p w14:paraId="2E5A987D" w14:textId="77777777" w:rsidR="006778C2" w:rsidRDefault="00B61FE6">
      <w:pPr>
        <w:spacing w:line="480" w:lineRule="auto"/>
        <w:ind w:firstLine="720"/>
      </w:pPr>
      <w:r>
        <w:rPr>
          <w:sz w:val="24"/>
          <w:szCs w:val="24"/>
        </w:rPr>
        <w:t>The order holds that Hosseinipour cited “no evidence in the record to support the existence of such an instruction.” (</w:t>
      </w:r>
      <w:r>
        <w:rPr>
          <w:i/>
          <w:iCs/>
          <w:sz w:val="24"/>
          <w:szCs w:val="24"/>
        </w:rPr>
        <w:t>Id.</w:t>
      </w:r>
      <w:r>
        <w:rPr>
          <w:sz w:val="24"/>
          <w:szCs w:val="24"/>
        </w:rPr>
        <w:t xml:space="preserve"> at #12494.) She cited all of the above. She also filed Reynolds’s raw commission records, which show $41,977,487.17 in commissions against the $9,539,827.52 that 101-I reports. (R.857,#12423.) And she filed charts comparing what 101-I </w:t>
      </w:r>
      <w:proofErr w:type="spellStart"/>
      <w:r>
        <w:rPr>
          <w:sz w:val="24"/>
          <w:szCs w:val="24"/>
        </w:rPr>
        <w:t>reported</w:t>
      </w:r>
      <w:proofErr w:type="spellEnd"/>
      <w:r>
        <w:rPr>
          <w:sz w:val="24"/>
          <w:szCs w:val="24"/>
        </w:rPr>
        <w:t xml:space="preserve"> against what the system recorded for twenty-six named participants. (R.856-4; R.856-5,#12420-21.)</w:t>
      </w:r>
    </w:p>
    <w:p w14:paraId="6498AC64" w14:textId="77777777" w:rsidR="006778C2" w:rsidRDefault="00B61FE6">
      <w:pPr>
        <w:spacing w:line="480" w:lineRule="auto"/>
        <w:ind w:firstLine="720"/>
      </w:pPr>
      <w:r>
        <w:rPr>
          <w:sz w:val="24"/>
          <w:szCs w:val="24"/>
        </w:rPr>
        <w:t xml:space="preserve">Neither category was discoverable before trial. Exhibit 101-F carries no </w:t>
      </w:r>
      <w:proofErr w:type="spellStart"/>
      <w:r>
        <w:rPr>
          <w:sz w:val="24"/>
          <w:szCs w:val="24"/>
        </w:rPr>
        <w:t>CheckTypeID</w:t>
      </w:r>
      <w:proofErr w:type="spellEnd"/>
      <w:r>
        <w:rPr>
          <w:sz w:val="24"/>
          <w:szCs w:val="24"/>
        </w:rPr>
        <w:t xml:space="preserve"> column, and 101-I carries no date field. Nothing in what the defense received identified the field on which the selection was made. The instruction that produced 101-I has never been produced, explained, or denied.</w:t>
      </w:r>
    </w:p>
    <w:p w14:paraId="501A6AA1" w14:textId="77777777" w:rsidR="006778C2" w:rsidRDefault="00B61FE6">
      <w:pPr>
        <w:spacing w:before="240" w:after="120" w:line="480" w:lineRule="auto"/>
        <w:ind w:left="720"/>
      </w:pPr>
      <w:r>
        <w:rPr>
          <w:b/>
          <w:bCs/>
          <w:sz w:val="24"/>
          <w:szCs w:val="24"/>
        </w:rPr>
        <w:t>B.</w:t>
      </w:r>
      <w:r>
        <w:rPr>
          <w:b/>
          <w:bCs/>
          <w:sz w:val="24"/>
          <w:szCs w:val="24"/>
        </w:rPr>
        <w:tab/>
        <w:t>Both categories of evidence are exculpatory.</w:t>
      </w:r>
    </w:p>
    <w:p w14:paraId="20799308" w14:textId="77777777" w:rsidR="006778C2" w:rsidRDefault="00B61FE6">
      <w:pPr>
        <w:spacing w:line="480" w:lineRule="auto"/>
        <w:ind w:firstLine="720"/>
      </w:pPr>
      <w:r>
        <w:rPr>
          <w:sz w:val="24"/>
          <w:szCs w:val="24"/>
        </w:rPr>
        <w:t xml:space="preserve">Reynolds’s system shows that 37.4% of participants were net gainers. (R.847-2,#12222.) The United States told the jury that 96% lost money. (R.487,#3877.) The difference is not a matter of degree. Dr. Keep testified that an optimally functioning I2G would still have produced a loss rate above 87.5%, and that lawful multi-level marketing companies run “85 to 90 percentage.” (R.487,#3841-42, 3925.) A rate below 63% places I2G below the benchmark for a lawful company. The contrary inference would render every multi-level marketing company fraudulent, which this Court has foreclosed. </w:t>
      </w:r>
      <w:r>
        <w:rPr>
          <w:i/>
          <w:iCs/>
          <w:sz w:val="24"/>
          <w:szCs w:val="24"/>
        </w:rPr>
        <w:t>United States v. Gold Unlimited, Inc.</w:t>
      </w:r>
      <w:r>
        <w:rPr>
          <w:sz w:val="24"/>
          <w:szCs w:val="24"/>
        </w:rPr>
        <w:t>, 177 F.3d 472, 475 (6th Cir. 1999). The United States addresses neither figure.</w:t>
      </w:r>
    </w:p>
    <w:p w14:paraId="730A6D00" w14:textId="77777777" w:rsidR="006778C2" w:rsidRDefault="00B61FE6">
      <w:pPr>
        <w:spacing w:line="480" w:lineRule="auto"/>
        <w:ind w:firstLine="720"/>
      </w:pPr>
      <w:r>
        <w:rPr>
          <w:sz w:val="24"/>
          <w:szCs w:val="24"/>
        </w:rPr>
        <w:t xml:space="preserve">The omission also inflated the loss column. Exhibit 101-I reports $40,550,638.63 in purchases. Trial Exhibit 229 reports $17,688,159.61 in funds that </w:t>
      </w:r>
      <w:proofErr w:type="gramStart"/>
      <w:r>
        <w:rPr>
          <w:sz w:val="24"/>
          <w:szCs w:val="24"/>
        </w:rPr>
        <w:t>ever entered</w:t>
      </w:r>
      <w:proofErr w:type="gramEnd"/>
      <w:r>
        <w:rPr>
          <w:sz w:val="24"/>
          <w:szCs w:val="24"/>
        </w:rPr>
        <w:t xml:space="preserve"> I2G. (R.700,#10437-38.) The $22.9 million difference is commission-funded purchases counted </w:t>
      </w:r>
      <w:r>
        <w:rPr>
          <w:sz w:val="24"/>
          <w:szCs w:val="24"/>
        </w:rPr>
        <w:lastRenderedPageBreak/>
        <w:t>once as losses and never as gains. The same dollars appear twice in the government’s arithmetic and correctly in neither.</w:t>
      </w:r>
    </w:p>
    <w:p w14:paraId="0270650D" w14:textId="77777777" w:rsidR="006778C2" w:rsidRDefault="00B61FE6">
      <w:pPr>
        <w:spacing w:line="480" w:lineRule="auto"/>
        <w:ind w:firstLine="720"/>
      </w:pPr>
      <w:r w:rsidRPr="009F2CD1">
        <w:rPr>
          <w:sz w:val="24"/>
          <w:szCs w:val="24"/>
          <w:highlight w:val="yellow"/>
        </w:rPr>
        <w:t>Run on the Government’s own exhibits, the arithmetic does not survive. Trial Exhibit 229 reports $17,688,159.61 in funds that entered I2G and $11,056,636.18 returned to participants in commissions and refunds. The maximum possible loss is $6,631,523.43. Restore the commissions the instruction removed from USA-007240 and the loss falls to $2,434,292.25. The United States told the jury the loss was more than $30 million.</w:t>
      </w:r>
    </w:p>
    <w:p w14:paraId="720483B2" w14:textId="77777777" w:rsidR="006778C2" w:rsidRDefault="00B61FE6">
      <w:pPr>
        <w:spacing w:line="480" w:lineRule="auto"/>
        <w:ind w:firstLine="720"/>
      </w:pPr>
      <w:r>
        <w:rPr>
          <w:sz w:val="24"/>
          <w:szCs w:val="24"/>
        </w:rPr>
        <w:t xml:space="preserve">This Court relied on the 96% figure, reciting that “[n]early all the investors who bought into the scheme — some 96% — lost money” among the results supporting an inference of fraud “rather than . . . just star-crossed.” </w:t>
      </w:r>
      <w:proofErr w:type="spellStart"/>
      <w:r>
        <w:rPr>
          <w:i/>
          <w:iCs/>
          <w:sz w:val="24"/>
          <w:szCs w:val="24"/>
        </w:rPr>
        <w:t>Maike</w:t>
      </w:r>
      <w:proofErr w:type="spellEnd"/>
      <w:r>
        <w:rPr>
          <w:sz w:val="24"/>
          <w:szCs w:val="24"/>
        </w:rPr>
        <w:t>, 142 F.4th at 371, 373, 375. A figure that carried that weight on direct review cannot be immaterial on review of the evidence that produced it.</w:t>
      </w:r>
    </w:p>
    <w:p w14:paraId="323D36AE" w14:textId="77777777" w:rsidR="006778C2" w:rsidRDefault="00B61FE6">
      <w:pPr>
        <w:spacing w:line="480" w:lineRule="auto"/>
        <w:ind w:firstLine="720"/>
      </w:pPr>
      <w:r>
        <w:rPr>
          <w:sz w:val="24"/>
          <w:szCs w:val="24"/>
        </w:rPr>
        <w:t xml:space="preserve">The same column records charges no one paid. Asked whether </w:t>
      </w:r>
      <w:proofErr w:type="spellStart"/>
      <w:r>
        <w:rPr>
          <w:sz w:val="24"/>
          <w:szCs w:val="24"/>
        </w:rPr>
        <w:t>ValueAllPurchases</w:t>
      </w:r>
      <w:proofErr w:type="spellEnd"/>
      <w:r>
        <w:rPr>
          <w:sz w:val="24"/>
          <w:szCs w:val="24"/>
        </w:rPr>
        <w:t xml:space="preserve"> includes “autopay charges to Emperors regardless of whether those charges were actually paid by the </w:t>
      </w:r>
      <w:proofErr w:type="gramStart"/>
      <w:r>
        <w:rPr>
          <w:sz w:val="24"/>
          <w:szCs w:val="24"/>
        </w:rPr>
        <w:t>Emperor</w:t>
      </w:r>
      <w:proofErr w:type="gramEnd"/>
      <w:r>
        <w:rPr>
          <w:sz w:val="24"/>
          <w:szCs w:val="24"/>
        </w:rPr>
        <w:t>,” Reynolds answered: “Yes. For example, Melanie Adam . . . .” (R.721-2,#11429.) Exhibit 101-B carries $832,548.21 in Emperor monthly subscriptions that Agent Sauber agreed were “never charged for emperors” and “waived.” (R.663,#6572-73.)</w:t>
      </w:r>
    </w:p>
    <w:p w14:paraId="71678427" w14:textId="77777777" w:rsidR="006778C2" w:rsidRDefault="00B61FE6">
      <w:pPr>
        <w:spacing w:line="480" w:lineRule="auto"/>
        <w:ind w:firstLine="720"/>
      </w:pPr>
      <w:r>
        <w:rPr>
          <w:sz w:val="24"/>
          <w:szCs w:val="24"/>
        </w:rPr>
        <w:t xml:space="preserve">Gifted positions are counted the same way. Reynolds explained </w:t>
      </w:r>
      <w:proofErr w:type="spellStart"/>
      <w:r>
        <w:rPr>
          <w:sz w:val="24"/>
          <w:szCs w:val="24"/>
        </w:rPr>
        <w:t>ValueAllPurchases</w:t>
      </w:r>
      <w:proofErr w:type="spellEnd"/>
      <w:r>
        <w:rPr>
          <w:sz w:val="24"/>
          <w:szCs w:val="24"/>
        </w:rPr>
        <w:t xml:space="preserve"> to the jury as “money that was paid,” and confirmed a gifted position would “register as” zero. (R.498,#4169.) His declaration states the opposite: those positions carry $5,000 in that column. Sauber conceded the defect, agreeing that Reynolds’s spreadsheet “doesn’t — can’t account for positions that are just given away to people.” (R.663,#6570.) Counsel put specific examples to him: Stephen Barnes, who received a spot the spreadsheet valued at $5,019.95; three spots valued at $5,000 each “even though they didn’t” pay; and a trial witness “given </w:t>
      </w:r>
      <w:r>
        <w:rPr>
          <w:sz w:val="24"/>
          <w:szCs w:val="24"/>
        </w:rPr>
        <w:lastRenderedPageBreak/>
        <w:t>ten spots.” He answered “Correct” to each, and in the same exchange placed Syn at “around 200-something spots.” (</w:t>
      </w:r>
      <w:r>
        <w:rPr>
          <w:i/>
          <w:iCs/>
          <w:sz w:val="24"/>
          <w:szCs w:val="24"/>
        </w:rPr>
        <w:t>Id.</w:t>
      </w:r>
      <w:r>
        <w:rPr>
          <w:sz w:val="24"/>
          <w:szCs w:val="24"/>
        </w:rPr>
        <w:t xml:space="preserve"> at #6571.)</w:t>
      </w:r>
    </w:p>
    <w:p w14:paraId="2B45CF4B" w14:textId="77777777" w:rsidR="006778C2" w:rsidRDefault="00B61FE6">
      <w:pPr>
        <w:spacing w:line="480" w:lineRule="auto"/>
        <w:ind w:firstLine="720"/>
      </w:pPr>
      <w:r>
        <w:rPr>
          <w:sz w:val="24"/>
          <w:szCs w:val="24"/>
        </w:rPr>
        <w:t xml:space="preserve">Commissions never paid could not have been spent, yet the United States counts what they purchased. Reynolds explained the mechanism: commissions sat in “a function in our system called an e-wallet,” and “our shopping cart allows them to spend commissions that they’ve earned on product.” To take cash instead, a participant pressed “request check,” for an amount that “has to line up with the commissions they’ve earned.” (R.498,#4186-87.) </w:t>
      </w:r>
      <w:r w:rsidRPr="007D1616">
        <w:rPr>
          <w:sz w:val="24"/>
          <w:szCs w:val="24"/>
          <w:highlight w:val="yellow"/>
        </w:rPr>
        <w:t>He would know “what had been paid from our system”;</w:t>
      </w:r>
      <w:r>
        <w:rPr>
          <w:sz w:val="24"/>
          <w:szCs w:val="24"/>
        </w:rPr>
        <w:t xml:space="preserve"> a requested check “would end up being a transfer over to GPG”; and “it’s advantageous to them to leave the commissions in our platform because they can use it for other things. They can pay for orders with commissions.” (</w:t>
      </w:r>
      <w:r>
        <w:rPr>
          <w:i/>
          <w:iCs/>
          <w:sz w:val="24"/>
          <w:szCs w:val="24"/>
        </w:rPr>
        <w:t>Id.</w:t>
      </w:r>
      <w:r>
        <w:rPr>
          <w:sz w:val="24"/>
          <w:szCs w:val="24"/>
        </w:rPr>
        <w:t xml:space="preserve"> at #4216.) The check type records where paid commissions went, not whether they were paid.</w:t>
      </w:r>
    </w:p>
    <w:p w14:paraId="302E454A" w14:textId="77777777" w:rsidR="006778C2" w:rsidRDefault="00B61FE6">
      <w:pPr>
        <w:spacing w:before="240" w:after="120" w:line="480" w:lineRule="auto"/>
        <w:ind w:left="720"/>
      </w:pPr>
      <w:r>
        <w:rPr>
          <w:b/>
          <w:bCs/>
          <w:sz w:val="24"/>
          <w:szCs w:val="24"/>
        </w:rPr>
        <w:t>C.</w:t>
      </w:r>
      <w:r>
        <w:rPr>
          <w:b/>
          <w:bCs/>
          <w:sz w:val="24"/>
          <w:szCs w:val="24"/>
        </w:rPr>
        <w:tab/>
        <w:t>The Government suppressed both categories of evidence.</w:t>
      </w:r>
    </w:p>
    <w:p w14:paraId="7A2507F0" w14:textId="77777777" w:rsidR="006778C2" w:rsidRDefault="00B61FE6">
      <w:pPr>
        <w:spacing w:line="480" w:lineRule="auto"/>
        <w:ind w:firstLine="720"/>
      </w:pPr>
      <w:r>
        <w:rPr>
          <w:sz w:val="24"/>
          <w:szCs w:val="24"/>
        </w:rPr>
        <w:t>The United States never disclosed that it instructed Reynolds to exclude tens of millions in commissions its system tracked, or that the system indicated 37.4% of participants were net gainers. It does not claim otherwise.</w:t>
      </w:r>
    </w:p>
    <w:p w14:paraId="79AE7D24" w14:textId="77777777" w:rsidR="006778C2" w:rsidRDefault="00B61FE6">
      <w:pPr>
        <w:spacing w:line="480" w:lineRule="auto"/>
        <w:ind w:firstLine="720"/>
      </w:pPr>
      <w:r>
        <w:rPr>
          <w:sz w:val="24"/>
          <w:szCs w:val="24"/>
        </w:rPr>
        <w:t xml:space="preserve">Instead, it answers with diligence as to spreadsheets Hosseinipour possessed. Appellee Br. 16, 18, 21, 25. The suppressed item is not a spreadsheet. It is the instruction. </w:t>
      </w:r>
      <w:r w:rsidRPr="00E15CCB">
        <w:rPr>
          <w:sz w:val="24"/>
          <w:szCs w:val="24"/>
          <w:highlight w:val="yellow"/>
        </w:rPr>
        <w:t>That it may never have been written down is no answer: “[t]he obligation to disclose information covered by the Brady and Giglio rules exists without regard to whether that information has been recorded in tangible form.” United States v. Rodriguez, 496 F.3d 221, 226 (2d Cir. 2007).</w:t>
      </w:r>
      <w:r>
        <w:rPr>
          <w:sz w:val="24"/>
          <w:szCs w:val="24"/>
        </w:rPr>
        <w:t xml:space="preserve"> And the argument rests on spreadsheets the United States itself discredited. It says Hosseinipour “concedes that prior to trial, she had the original ‘Checks’ and the ‘Commission Detail’ spreadsheet,” and that “Reynolds’s spreadsheets provided all the underlying data.” Id. at 18, 24-25. Those are USA-007240 and USA-007241. In January </w:t>
      </w:r>
      <w:r>
        <w:rPr>
          <w:sz w:val="24"/>
          <w:szCs w:val="24"/>
        </w:rPr>
        <w:lastRenderedPageBreak/>
        <w:t>2023 the prosecutor told defense counsel that “USA 7240 is not the best evidence.” (R.721-5,#11435.) At restitution he told the court it “needs to be corrected” and “has problems.” (R.718,#11344-45.) The district court called commission data from those files “unsubstantiated data.” (R.744,#11538.) The United States now cites that finding to dispute the commission data while maintaining the same spreadsheets gave her notice. Appellee Br. 28. A spreadsheet cannot be unsubstantiated and sufficient to supply notice.</w:t>
      </w:r>
    </w:p>
    <w:p w14:paraId="3603D121" w14:textId="77777777" w:rsidR="006778C2" w:rsidRDefault="00B61FE6">
      <w:pPr>
        <w:spacing w:line="480" w:lineRule="auto"/>
        <w:ind w:firstLine="720"/>
      </w:pPr>
      <w:r>
        <w:rPr>
          <w:sz w:val="24"/>
          <w:szCs w:val="24"/>
        </w:rPr>
        <w:t xml:space="preserve">In any event, diligence is not an element. A defendant may rely on the prosecution’s promise to disclose exculpatory material and “cannot be faulted for relying on that representation.” </w:t>
      </w:r>
      <w:r>
        <w:rPr>
          <w:i/>
          <w:iCs/>
          <w:sz w:val="24"/>
          <w:szCs w:val="24"/>
        </w:rPr>
        <w:t>Strickler v. Greene</w:t>
      </w:r>
      <w:r>
        <w:rPr>
          <w:sz w:val="24"/>
          <w:szCs w:val="24"/>
        </w:rPr>
        <w:t xml:space="preserve">, 527 U.S. 263, 284 (1999); </w:t>
      </w:r>
      <w:r>
        <w:rPr>
          <w:i/>
          <w:iCs/>
          <w:sz w:val="24"/>
          <w:szCs w:val="24"/>
        </w:rPr>
        <w:t xml:space="preserve">Banks v. </w:t>
      </w:r>
      <w:proofErr w:type="spellStart"/>
      <w:r>
        <w:rPr>
          <w:i/>
          <w:iCs/>
          <w:sz w:val="24"/>
          <w:szCs w:val="24"/>
        </w:rPr>
        <w:t>Dretke</w:t>
      </w:r>
      <w:proofErr w:type="spellEnd"/>
      <w:r>
        <w:rPr>
          <w:sz w:val="24"/>
          <w:szCs w:val="24"/>
        </w:rPr>
        <w:t xml:space="preserve">, 540 U.S. 668, 693, 696 (2004). This Court has held that </w:t>
      </w:r>
      <w:r>
        <w:rPr>
          <w:i/>
          <w:iCs/>
          <w:sz w:val="24"/>
          <w:szCs w:val="24"/>
        </w:rPr>
        <w:t>Banks</w:t>
      </w:r>
      <w:r>
        <w:rPr>
          <w:sz w:val="24"/>
          <w:szCs w:val="24"/>
        </w:rPr>
        <w:t xml:space="preserve"> “rejected </w:t>
      </w:r>
      <w:proofErr w:type="spellStart"/>
      <w:r>
        <w:rPr>
          <w:sz w:val="24"/>
          <w:szCs w:val="24"/>
        </w:rPr>
        <w:t>th</w:t>
      </w:r>
      <w:proofErr w:type="spellEnd"/>
      <w:r>
        <w:rPr>
          <w:sz w:val="24"/>
          <w:szCs w:val="24"/>
        </w:rPr>
        <w:t xml:space="preserve">[e] requirement in no uncertain terms” and that “the client does not lose the benefit of </w:t>
      </w:r>
      <w:r>
        <w:rPr>
          <w:i/>
          <w:iCs/>
          <w:sz w:val="24"/>
          <w:szCs w:val="24"/>
        </w:rPr>
        <w:t>Brady</w:t>
      </w:r>
      <w:r>
        <w:rPr>
          <w:sz w:val="24"/>
          <w:szCs w:val="24"/>
        </w:rPr>
        <w:t xml:space="preserve"> when the lawyer fails to ‘detect’ the favorable information.” </w:t>
      </w:r>
      <w:r>
        <w:rPr>
          <w:i/>
          <w:iCs/>
          <w:sz w:val="24"/>
          <w:szCs w:val="24"/>
        </w:rPr>
        <w:t>United States v. Tavera</w:t>
      </w:r>
      <w:r>
        <w:rPr>
          <w:sz w:val="24"/>
          <w:szCs w:val="24"/>
        </w:rPr>
        <w:t>, 719 F.3d 705, 711-12 (6th Cir. 2013). The United States cites none of these decisions.</w:t>
      </w:r>
    </w:p>
    <w:p w14:paraId="4B7AACFD" w14:textId="77777777" w:rsidR="006778C2" w:rsidRDefault="00B61FE6">
      <w:pPr>
        <w:spacing w:line="480" w:lineRule="auto"/>
        <w:ind w:firstLine="720"/>
      </w:pPr>
      <w:r>
        <w:rPr>
          <w:sz w:val="24"/>
          <w:szCs w:val="24"/>
        </w:rPr>
        <w:t xml:space="preserve">It distinguishes </w:t>
      </w:r>
      <w:r>
        <w:rPr>
          <w:i/>
          <w:iCs/>
          <w:sz w:val="24"/>
          <w:szCs w:val="24"/>
        </w:rPr>
        <w:t>White</w:t>
      </w:r>
      <w:r>
        <w:rPr>
          <w:sz w:val="24"/>
          <w:szCs w:val="24"/>
        </w:rPr>
        <w:t xml:space="preserve"> on volume, contrasting its “more than 50,000 pages” with “a one-page declaration.” Appellee Br. 28-29. But </w:t>
      </w:r>
      <w:r>
        <w:rPr>
          <w:i/>
          <w:iCs/>
          <w:sz w:val="24"/>
          <w:szCs w:val="24"/>
        </w:rPr>
        <w:t>White</w:t>
      </w:r>
      <w:r>
        <w:rPr>
          <w:sz w:val="24"/>
          <w:szCs w:val="24"/>
        </w:rPr>
        <w:t xml:space="preserve">’s new evidence was not 57,436 pages — that was a FOIA response the defendant could not afford to obtain. It was “an allegedly altered version of an expert report” from which “exculpatory opinions and conclusions had been extracted.” </w:t>
      </w:r>
      <w:r>
        <w:rPr>
          <w:i/>
          <w:iCs/>
          <w:sz w:val="24"/>
          <w:szCs w:val="24"/>
        </w:rPr>
        <w:t>White</w:t>
      </w:r>
      <w:r>
        <w:rPr>
          <w:sz w:val="24"/>
          <w:szCs w:val="24"/>
        </w:rPr>
        <w:t>, 492 F.3d at 409. That is this case.</w:t>
      </w:r>
    </w:p>
    <w:p w14:paraId="3C4B431F" w14:textId="77777777" w:rsidR="006778C2" w:rsidRDefault="00B61FE6">
      <w:pPr>
        <w:spacing w:line="480" w:lineRule="auto"/>
        <w:ind w:firstLine="720"/>
      </w:pPr>
      <w:r>
        <w:rPr>
          <w:sz w:val="24"/>
          <w:szCs w:val="24"/>
        </w:rPr>
        <w:t xml:space="preserve">The order’s diligence holding is not about Hosseinipour. It rests on the court’s skepticism “that Reynolds would not have cooperated,” and on “the </w:t>
      </w:r>
      <w:proofErr w:type="spellStart"/>
      <w:r>
        <w:rPr>
          <w:sz w:val="24"/>
          <w:szCs w:val="24"/>
        </w:rPr>
        <w:t>Maikes</w:t>
      </w:r>
      <w:proofErr w:type="spellEnd"/>
      <w:r>
        <w:rPr>
          <w:sz w:val="24"/>
          <w:szCs w:val="24"/>
        </w:rPr>
        <w:t xml:space="preserve">’ long-standing relationship with Reynolds.” (R.865,#12500-01.) Hosseinipour is not a </w:t>
      </w:r>
      <w:proofErr w:type="spellStart"/>
      <w:r>
        <w:rPr>
          <w:sz w:val="24"/>
          <w:szCs w:val="24"/>
        </w:rPr>
        <w:t>Maike</w:t>
      </w:r>
      <w:proofErr w:type="spellEnd"/>
      <w:r>
        <w:rPr>
          <w:sz w:val="24"/>
          <w:szCs w:val="24"/>
        </w:rPr>
        <w:t xml:space="preserve"> and had no such relationship. Reynolds testified he would “not communicate with anybody except my attorney.” (R.498,#4219.) The United States quotes his counsel saying “we were willing to pull reports if there was a narrow set of requests,” Appellee Br. 17, 25, but the same colloquy </w:t>
      </w:r>
      <w:r>
        <w:rPr>
          <w:sz w:val="24"/>
          <w:szCs w:val="24"/>
        </w:rPr>
        <w:lastRenderedPageBreak/>
        <w:t>records her declining to produce the database. (R.681,#8321.) Counsel still withholds the instructions. (R.870-1,#12594.)</w:t>
      </w:r>
    </w:p>
    <w:p w14:paraId="2E5AD49B" w14:textId="77777777" w:rsidR="006778C2" w:rsidRDefault="00B61FE6">
      <w:pPr>
        <w:spacing w:line="480" w:lineRule="auto"/>
        <w:ind w:firstLine="720"/>
      </w:pPr>
      <w:r>
        <w:rPr>
          <w:sz w:val="24"/>
          <w:szCs w:val="24"/>
        </w:rPr>
        <w:t xml:space="preserve">Finally, the United States argues Hosseinipour had “ample opportunity to cross-examine.” Appellee Br. 6, 17, 26. This Court has answered that: “It makes little sense to argue that because [the defendant] tried to impeach [the key witness] and failed, any further impeachment evidence would be useless.” </w:t>
      </w:r>
      <w:r>
        <w:rPr>
          <w:i/>
          <w:iCs/>
          <w:sz w:val="24"/>
          <w:szCs w:val="24"/>
        </w:rPr>
        <w:t>Robinson v. Mills</w:t>
      </w:r>
      <w:r>
        <w:rPr>
          <w:sz w:val="24"/>
          <w:szCs w:val="24"/>
        </w:rPr>
        <w:t xml:space="preserve">, 592 F.3d 730, 737 (6th Cir. 2010). False evidence “cannot be cured by cross-examination.” </w:t>
      </w:r>
      <w:r>
        <w:rPr>
          <w:i/>
          <w:iCs/>
          <w:sz w:val="24"/>
          <w:szCs w:val="24"/>
        </w:rPr>
        <w:t>Glossip v. Oklahoma</w:t>
      </w:r>
      <w:r>
        <w:rPr>
          <w:sz w:val="24"/>
          <w:szCs w:val="24"/>
        </w:rPr>
        <w:t>, 145 S. Ct. 612, 631 n.10 (2025).</w:t>
      </w:r>
    </w:p>
    <w:p w14:paraId="6D9AF7B4" w14:textId="77777777" w:rsidR="006778C2" w:rsidRDefault="00B61FE6">
      <w:pPr>
        <w:spacing w:before="240" w:after="120" w:line="480" w:lineRule="auto"/>
        <w:ind w:left="720"/>
      </w:pPr>
      <w:r>
        <w:rPr>
          <w:b/>
          <w:bCs/>
          <w:sz w:val="24"/>
          <w:szCs w:val="24"/>
        </w:rPr>
        <w:t>D.</w:t>
      </w:r>
      <w:r>
        <w:rPr>
          <w:b/>
          <w:bCs/>
          <w:sz w:val="24"/>
          <w:szCs w:val="24"/>
        </w:rPr>
        <w:tab/>
        <w:t>Hosseinipour suffered prejudice.</w:t>
      </w:r>
    </w:p>
    <w:p w14:paraId="6D1D9379" w14:textId="77777777" w:rsidR="006778C2" w:rsidRDefault="00B61FE6">
      <w:pPr>
        <w:spacing w:line="480" w:lineRule="auto"/>
        <w:ind w:firstLine="720"/>
      </w:pPr>
      <w:r>
        <w:rPr>
          <w:sz w:val="24"/>
          <w:szCs w:val="24"/>
        </w:rPr>
        <w:t xml:space="preserve">The district court found no prejudice because “whether the proof is 96% or less than 63%,” the scheme remained one “where the organizers earned millions of dollars.” (R.865,#12497.) That reasoning measures the case against </w:t>
      </w:r>
      <w:proofErr w:type="spellStart"/>
      <w:r>
        <w:rPr>
          <w:sz w:val="24"/>
          <w:szCs w:val="24"/>
        </w:rPr>
        <w:t>Maike</w:t>
      </w:r>
      <w:proofErr w:type="spellEnd"/>
      <w:r>
        <w:rPr>
          <w:sz w:val="24"/>
          <w:szCs w:val="24"/>
        </w:rPr>
        <w:t xml:space="preserve">, not against Hosseinipour. The question is “whether the favorable evidence could reasonably be taken to put the whole case in such a different light as to undermine confidence in the verdict.” </w:t>
      </w:r>
      <w:r>
        <w:rPr>
          <w:i/>
          <w:iCs/>
          <w:sz w:val="24"/>
          <w:szCs w:val="24"/>
        </w:rPr>
        <w:t>Strickler</w:t>
      </w:r>
      <w:r>
        <w:rPr>
          <w:sz w:val="24"/>
          <w:szCs w:val="24"/>
        </w:rPr>
        <w:t>, 527 U.S. at 290.</w:t>
      </w:r>
    </w:p>
    <w:p w14:paraId="22AF7621" w14:textId="3D6198C2" w:rsidR="006778C2" w:rsidRDefault="00B61FE6">
      <w:pPr>
        <w:spacing w:line="480" w:lineRule="auto"/>
        <w:ind w:firstLine="720"/>
      </w:pPr>
      <w:r>
        <w:rPr>
          <w:sz w:val="24"/>
          <w:szCs w:val="24"/>
        </w:rPr>
        <w:t xml:space="preserve">The 96% figure was the measure against which </w:t>
      </w:r>
      <w:proofErr w:type="spellStart"/>
      <w:r>
        <w:rPr>
          <w:sz w:val="24"/>
          <w:szCs w:val="24"/>
        </w:rPr>
        <w:t>Hosseinipour’s</w:t>
      </w:r>
      <w:proofErr w:type="spellEnd"/>
      <w:r>
        <w:rPr>
          <w:sz w:val="24"/>
          <w:szCs w:val="24"/>
        </w:rPr>
        <w:t xml:space="preserve"> conduct was judged. Remove it and every other item of evidence against her is reweighted:</w:t>
      </w:r>
      <w:r w:rsidR="00E65227">
        <w:rPr>
          <w:sz w:val="24"/>
          <w:szCs w:val="24"/>
        </w:rPr>
        <w:t xml:space="preserve"> </w:t>
      </w:r>
      <w:r>
        <w:rPr>
          <w:sz w:val="24"/>
          <w:szCs w:val="24"/>
        </w:rPr>
        <w:t xml:space="preserve"> her </w:t>
      </w:r>
      <w:r w:rsidR="00E65227">
        <w:rPr>
          <w:sz w:val="24"/>
          <w:szCs w:val="24"/>
        </w:rPr>
        <w:t xml:space="preserve">“cheerleader” </w:t>
      </w:r>
      <w:r>
        <w:rPr>
          <w:sz w:val="24"/>
          <w:szCs w:val="24"/>
        </w:rPr>
        <w:t>presentations, her earnings, and her team’s results all change meaning when the enterprise performed better than a lawful multi-level marketing company. Fourteen of the sixteen members of her downline are net gainers on 101-I itself, and the other two become gainers once the omitted commissions are credited. Of the ten participants the United States identified as victim-investors, nine were net gainers in the corrected data. The three named in the indictment and the jury instructions appear on 101-I as jointly receiving $70,043.37; Reynolds’s system shows $606,377.87. (R.856-4,#12420; R.671,#7497.)</w:t>
      </w:r>
    </w:p>
    <w:p w14:paraId="40539C7E" w14:textId="77777777" w:rsidR="006778C2" w:rsidRDefault="00B61FE6">
      <w:pPr>
        <w:spacing w:line="480" w:lineRule="auto"/>
        <w:ind w:firstLine="720"/>
      </w:pPr>
      <w:r>
        <w:rPr>
          <w:sz w:val="24"/>
          <w:szCs w:val="24"/>
        </w:rPr>
        <w:lastRenderedPageBreak/>
        <w:t xml:space="preserve">The United States also applied a different methodology to her. Exhibit 101-E counted every check type Reynolds’s system recorded, including the funds transfers and post-2014 transactions removed from 101-I. It captured 94% of </w:t>
      </w:r>
      <w:proofErr w:type="spellStart"/>
      <w:r>
        <w:rPr>
          <w:sz w:val="24"/>
          <w:szCs w:val="24"/>
        </w:rPr>
        <w:t>Hosseinipour’s</w:t>
      </w:r>
      <w:proofErr w:type="spellEnd"/>
      <w:r>
        <w:rPr>
          <w:sz w:val="24"/>
          <w:szCs w:val="24"/>
        </w:rPr>
        <w:t xml:space="preserve"> commissions and 23.53% of everyone else’s. The same instruction that made 23,770 participants appear as losers made her appear fully compensated. The exhibits do not disagree on arithmetic. They disagree on which commissions count.</w:t>
      </w:r>
    </w:p>
    <w:p w14:paraId="62A752B5" w14:textId="77777777" w:rsidR="006778C2" w:rsidRDefault="00B61FE6">
      <w:pPr>
        <w:spacing w:line="480" w:lineRule="auto"/>
        <w:ind w:firstLine="720"/>
      </w:pPr>
      <w:r>
        <w:rPr>
          <w:sz w:val="24"/>
          <w:szCs w:val="24"/>
        </w:rPr>
        <w:t xml:space="preserve">The United States asserts the record is “replete with examples of </w:t>
      </w:r>
      <w:proofErr w:type="spellStart"/>
      <w:r>
        <w:rPr>
          <w:sz w:val="24"/>
          <w:szCs w:val="24"/>
        </w:rPr>
        <w:t>Hosseinipour’s</w:t>
      </w:r>
      <w:proofErr w:type="spellEnd"/>
      <w:r>
        <w:rPr>
          <w:sz w:val="24"/>
          <w:szCs w:val="24"/>
        </w:rPr>
        <w:t xml:space="preserve"> central role in I2G’s fraud,” citing one sentence from a background section of this Court’s prior opinion. Appellee Br. 23-24. It cites no testimony, exhibit, or record page. The same judge found at sentencing that Hosseinipour “was not a leader,” “was not an organizer or manager,” “certainly didn’t set up this scheme,” and was “less of a leader than a cheerleader.” (R.675,#7820, 7826.)</w:t>
      </w:r>
    </w:p>
    <w:p w14:paraId="481CC7CA" w14:textId="77777777" w:rsidR="006778C2" w:rsidRDefault="00B61FE6">
      <w:pPr>
        <w:spacing w:line="480" w:lineRule="auto"/>
        <w:ind w:firstLine="720"/>
      </w:pPr>
      <w:r>
        <w:rPr>
          <w:sz w:val="24"/>
          <w:szCs w:val="24"/>
        </w:rPr>
        <w:t xml:space="preserve">Measured by opposite rules, the same participant appears a gainer or a loser depending which applied. Exhibit 101-E places Syn among the few rewarded at $2,390,498.23; Exhibit 101-I places him among the 96% at a net loss of $1,184,704.30. </w:t>
      </w:r>
      <w:proofErr w:type="spellStart"/>
      <w:r>
        <w:rPr>
          <w:sz w:val="24"/>
          <w:szCs w:val="24"/>
        </w:rPr>
        <w:t>Dvorin</w:t>
      </w:r>
      <w:proofErr w:type="spellEnd"/>
      <w:r>
        <w:rPr>
          <w:sz w:val="24"/>
          <w:szCs w:val="24"/>
        </w:rPr>
        <w:t xml:space="preserve"> appears at $1,338,008.45 in 101-E and a gain of $225,161.81 in 101-I. The prejudice tracked the Government’s theory. Dr. Keep testified the plan would “concentrate the rewards into a relatively small number of people.” (R.486,#3777.) The court admitted 101-E over a preserved objection because “part of the analysis of a pyramid scheme is a concentration of the revenue in a select few people, and I understand that’s where this exhibit is going.” (</w:t>
      </w:r>
      <w:r>
        <w:rPr>
          <w:i/>
          <w:iCs/>
          <w:sz w:val="24"/>
          <w:szCs w:val="24"/>
        </w:rPr>
        <w:t>Id.</w:t>
      </w:r>
      <w:r>
        <w:rPr>
          <w:sz w:val="24"/>
          <w:szCs w:val="24"/>
        </w:rPr>
        <w:t xml:space="preserve"> at #3782.) Keep then testified it “indicates the total amount of rewards, financial rewards, that were gained by a small number of people, in this case, the defendants.” (R.487,#3874.) Exhibit 101-E supplied the few; Exhibit 101-I supplied the many.</w:t>
      </w:r>
    </w:p>
    <w:p w14:paraId="132968A7" w14:textId="77777777" w:rsidR="006778C2" w:rsidRDefault="00B61FE6">
      <w:pPr>
        <w:spacing w:line="480" w:lineRule="auto"/>
        <w:ind w:firstLine="720"/>
      </w:pPr>
      <w:r>
        <w:rPr>
          <w:sz w:val="24"/>
          <w:szCs w:val="24"/>
        </w:rPr>
        <w:t xml:space="preserve">The record the United States does not cite belongs to its own cooperating witness. Anzalone testified she would not lie or mislead, (R.511,#4830-31); that she refused to join </w:t>
      </w:r>
      <w:r>
        <w:rPr>
          <w:sz w:val="24"/>
          <w:szCs w:val="24"/>
        </w:rPr>
        <w:lastRenderedPageBreak/>
        <w:t>until the plan was attorney-approved, (</w:t>
      </w:r>
      <w:r>
        <w:rPr>
          <w:i/>
          <w:iCs/>
          <w:sz w:val="24"/>
          <w:szCs w:val="24"/>
        </w:rPr>
        <w:t>id.</w:t>
      </w:r>
      <w:r>
        <w:rPr>
          <w:sz w:val="24"/>
          <w:szCs w:val="24"/>
        </w:rPr>
        <w:t xml:space="preserve"> at #4863-64); that </w:t>
      </w:r>
      <w:proofErr w:type="spellStart"/>
      <w:r>
        <w:rPr>
          <w:sz w:val="24"/>
          <w:szCs w:val="24"/>
        </w:rPr>
        <w:t>Maike</w:t>
      </w:r>
      <w:proofErr w:type="spellEnd"/>
      <w:r>
        <w:rPr>
          <w:sz w:val="24"/>
          <w:szCs w:val="24"/>
        </w:rPr>
        <w:t xml:space="preserve"> left her out of discussions, (R.465,#3579); and that when the plan </w:t>
      </w:r>
      <w:proofErr w:type="gramStart"/>
      <w:r>
        <w:rPr>
          <w:sz w:val="24"/>
          <w:szCs w:val="24"/>
        </w:rPr>
        <w:t>launched</w:t>
      </w:r>
      <w:proofErr w:type="gramEnd"/>
      <w:r>
        <w:rPr>
          <w:sz w:val="24"/>
          <w:szCs w:val="24"/>
        </w:rPr>
        <w:t xml:space="preserve"> she “didn’t even know about this program yet,” (R.504,#4325). She forwarded complaints to the company’s in-house compliance attorney — conduct the United States itself characterized as “bringing it to management attention.” (</w:t>
      </w:r>
      <w:r>
        <w:rPr>
          <w:i/>
          <w:iCs/>
          <w:sz w:val="24"/>
          <w:szCs w:val="24"/>
        </w:rPr>
        <w:t>Id.</w:t>
      </w:r>
      <w:r>
        <w:rPr>
          <w:sz w:val="24"/>
          <w:szCs w:val="24"/>
        </w:rPr>
        <w:t xml:space="preserve"> at #4609, 4623.) She used the same PowerPoint as every distributor and “did not alter it,” (</w:t>
      </w:r>
      <w:r>
        <w:rPr>
          <w:i/>
          <w:iCs/>
          <w:sz w:val="24"/>
          <w:szCs w:val="24"/>
        </w:rPr>
        <w:t>id.</w:t>
      </w:r>
      <w:r>
        <w:rPr>
          <w:sz w:val="24"/>
          <w:szCs w:val="24"/>
        </w:rPr>
        <w:t xml:space="preserve"> at #4312, 4536); attended only company-sponsored meetings and never traveled overseas, (R.511,#4873-74); and as to the artists, “repeated what Bob Johnson said in the event,” (R.504,#4517, 4524). The only check Anzalone believed inaccurate was presented to him alone in Hong Kong. (</w:t>
      </w:r>
      <w:r>
        <w:rPr>
          <w:i/>
          <w:iCs/>
          <w:sz w:val="24"/>
          <w:szCs w:val="24"/>
        </w:rPr>
        <w:t>Id.</w:t>
      </w:r>
      <w:r>
        <w:rPr>
          <w:sz w:val="24"/>
          <w:szCs w:val="24"/>
        </w:rPr>
        <w:t xml:space="preserve"> at #4453-54, 4510.)</w:t>
      </w:r>
    </w:p>
    <w:p w14:paraId="36A08118" w14:textId="77777777" w:rsidR="006778C2" w:rsidRDefault="00B61FE6">
      <w:pPr>
        <w:spacing w:line="480" w:lineRule="auto"/>
        <w:ind w:firstLine="720"/>
      </w:pPr>
      <w:r>
        <w:rPr>
          <w:sz w:val="24"/>
          <w:szCs w:val="24"/>
        </w:rPr>
        <w:t>Three other witnesses said the same. Logan testified she presented an opportunity everyone could succeed at “if they worked at it,” that the need to work “was reinforced many times,” and that he believed her honest and “sincerely expressing what she believed.” (R.702,#11002.) Dugger testified Hosseinipour never represented “passive income” or that “you never have to work” — “No. Those phrases were never used because she was always working” — and that she “absolutely” cared about her team. (R.690,#9492, 9494.) Fredericks testified she “always gave a disclaimer. If you don’t do any work, you don’t earn anything.” (R.683,#8747.)</w:t>
      </w:r>
    </w:p>
    <w:p w14:paraId="468558EC" w14:textId="77777777" w:rsidR="006778C2" w:rsidRDefault="00B61FE6">
      <w:pPr>
        <w:spacing w:before="240" w:after="120" w:line="480" w:lineRule="auto"/>
      </w:pPr>
      <w:r>
        <w:rPr>
          <w:b/>
          <w:bCs/>
          <w:sz w:val="24"/>
          <w:szCs w:val="24"/>
        </w:rPr>
        <w:t>II.</w:t>
      </w:r>
      <w:r>
        <w:rPr>
          <w:b/>
          <w:bCs/>
          <w:sz w:val="24"/>
          <w:szCs w:val="24"/>
        </w:rPr>
        <w:tab/>
        <w:t>The district court erred by denying a new trial because the Government’s case included false testimony.</w:t>
      </w:r>
    </w:p>
    <w:p w14:paraId="04B14276" w14:textId="77777777" w:rsidR="006778C2" w:rsidRDefault="00B61FE6">
      <w:pPr>
        <w:spacing w:line="480" w:lineRule="auto"/>
        <w:ind w:firstLine="720"/>
      </w:pPr>
      <w:r>
        <w:rPr>
          <w:sz w:val="24"/>
          <w:szCs w:val="24"/>
        </w:rPr>
        <w:t xml:space="preserve">Where the government’s case includes false evidence and “the prosecution knew or should have known of the falsehood,” a new trial is required if there was “any reasonable likelihood” it “would have affected the judgment of the jury.” </w:t>
      </w:r>
      <w:r>
        <w:rPr>
          <w:i/>
          <w:iCs/>
          <w:sz w:val="24"/>
          <w:szCs w:val="24"/>
        </w:rPr>
        <w:t>United States v. Stoddard</w:t>
      </w:r>
      <w:r>
        <w:rPr>
          <w:sz w:val="24"/>
          <w:szCs w:val="24"/>
        </w:rPr>
        <w:t xml:space="preserve">, 875 F.2d 1233, 1237 (6th Cir. 1989); </w:t>
      </w:r>
      <w:r>
        <w:rPr>
          <w:i/>
          <w:iCs/>
          <w:sz w:val="24"/>
          <w:szCs w:val="24"/>
        </w:rPr>
        <w:t xml:space="preserve">see </w:t>
      </w:r>
      <w:proofErr w:type="spellStart"/>
      <w:r>
        <w:rPr>
          <w:i/>
          <w:iCs/>
          <w:sz w:val="24"/>
          <w:szCs w:val="24"/>
        </w:rPr>
        <w:t>Napue</w:t>
      </w:r>
      <w:proofErr w:type="spellEnd"/>
      <w:r>
        <w:rPr>
          <w:i/>
          <w:iCs/>
          <w:sz w:val="24"/>
          <w:szCs w:val="24"/>
        </w:rPr>
        <w:t xml:space="preserve"> v. Illinois</w:t>
      </w:r>
      <w:r>
        <w:rPr>
          <w:sz w:val="24"/>
          <w:szCs w:val="24"/>
        </w:rPr>
        <w:t xml:space="preserve">, 360 U.S. 264, 269 (1959); </w:t>
      </w:r>
      <w:r>
        <w:rPr>
          <w:i/>
          <w:iCs/>
          <w:sz w:val="24"/>
          <w:szCs w:val="24"/>
        </w:rPr>
        <w:t>Giglio v. United States</w:t>
      </w:r>
      <w:r>
        <w:rPr>
          <w:sz w:val="24"/>
          <w:szCs w:val="24"/>
        </w:rPr>
        <w:t xml:space="preserve">, 405 U.S. 150, 153-54 (1972). That standard is lower than </w:t>
      </w:r>
      <w:r>
        <w:rPr>
          <w:i/>
          <w:iCs/>
          <w:sz w:val="24"/>
          <w:szCs w:val="24"/>
        </w:rPr>
        <w:t>Brady</w:t>
      </w:r>
      <w:r>
        <w:rPr>
          <w:sz w:val="24"/>
          <w:szCs w:val="24"/>
        </w:rPr>
        <w:t>’s.</w:t>
      </w:r>
    </w:p>
    <w:p w14:paraId="1F4F4B7D" w14:textId="4A31A4C4" w:rsidR="006778C2" w:rsidRDefault="00B61FE6">
      <w:pPr>
        <w:spacing w:line="480" w:lineRule="auto"/>
        <w:ind w:firstLine="720"/>
      </w:pPr>
      <w:r>
        <w:rPr>
          <w:sz w:val="24"/>
          <w:szCs w:val="24"/>
        </w:rPr>
        <w:lastRenderedPageBreak/>
        <w:t xml:space="preserve">Reynolds testified that Exhibit 101-I held “all the participants’ gain and loss data” for “all the participants in I2G.” (R.498,#4163-64.) </w:t>
      </w:r>
      <w:r w:rsidR="00E15CCB">
        <w:rPr>
          <w:sz w:val="24"/>
          <w:szCs w:val="24"/>
        </w:rPr>
        <w:t>His affidavits and system data prove this statement false.  Also, its</w:t>
      </w:r>
      <w:r>
        <w:rPr>
          <w:sz w:val="24"/>
          <w:szCs w:val="24"/>
        </w:rPr>
        <w:t xml:space="preserve"> gain column is Exhibit 101-F. The United States concedes the column “was derived from Exhibit 101-F,” and that “the sum of all checks on Exhibit 101-F had been moved” into it. Appellee Br. 5. Reynolds identified $1,701,615.38 of those records as never sent. (R.498,#4129.) The exhibit reports as paid what its own source marks unsent, and the United States never corrected it.</w:t>
      </w:r>
    </w:p>
    <w:p w14:paraId="400FAABD" w14:textId="77777777" w:rsidR="006778C2" w:rsidRDefault="00B61FE6">
      <w:pPr>
        <w:spacing w:line="480" w:lineRule="auto"/>
        <w:ind w:firstLine="720"/>
      </w:pPr>
      <w:r>
        <w:rPr>
          <w:sz w:val="24"/>
          <w:szCs w:val="24"/>
        </w:rPr>
        <w:t>The earned-and-paid distinction is a post-trial invention. The August 2015 subpoena sought documentation of “payments earned or received.” (R.859-2,#12446.) Before any witness testified, the prosecutor described Reynolds’s company as having “kept track of every sale that was made, all the commissions that were due, all the checks that were paid out.” (R.680,#8268-69.) The prosecutor asked Dr. Keep whether Exhibit 101-E showed “how much each of the bonuses were paid,” then moved to admit it as “summarizing how much of each of the ways of earning Life Changer Productions received.” (R.486,#3780.) Keep described the same figures as “gained by a small number of people,” (R.487,#3874), and as money “paid out” that “came in,” (R.486,#3782, 3784). Reynolds described them as “paid over all time when the system was active.” (R.498,#4104.) Agent McClelland described his figures as “the amounts here of commissions paid.” (R.688,#9052.)</w:t>
      </w:r>
    </w:p>
    <w:p w14:paraId="3415F492" w14:textId="77777777" w:rsidR="006778C2" w:rsidRDefault="00B61FE6">
      <w:pPr>
        <w:spacing w:line="480" w:lineRule="auto"/>
        <w:ind w:firstLine="720"/>
      </w:pPr>
      <w:r w:rsidRPr="00E65227">
        <w:rPr>
          <w:sz w:val="24"/>
          <w:szCs w:val="24"/>
          <w:highlight w:val="yellow"/>
        </w:rPr>
        <w:t xml:space="preserve">The distinction also fails inside the column the United States relies on. Reynolds described Exhibit 101-F’s amount column as “the total of all the commission types that that person earned for that period,” and the records as “really just a transaction that’s due that person.” (R.498,#4131.) That column totals $9,539,827.52 — the exact figure 101-I reports as </w:t>
      </w:r>
      <w:proofErr w:type="spellStart"/>
      <w:r w:rsidRPr="00E65227">
        <w:rPr>
          <w:sz w:val="24"/>
          <w:szCs w:val="24"/>
          <w:highlight w:val="yellow"/>
        </w:rPr>
        <w:t>ValueChecksRequestedAndPaid</w:t>
      </w:r>
      <w:proofErr w:type="spellEnd"/>
      <w:r w:rsidRPr="00E65227">
        <w:rPr>
          <w:sz w:val="24"/>
          <w:szCs w:val="24"/>
          <w:highlight w:val="yellow"/>
        </w:rPr>
        <w:t>. The column the United States now calls commissions paid is the column Reynolds called commissions earned.</w:t>
      </w:r>
    </w:p>
    <w:p w14:paraId="49544BB2" w14:textId="77777777" w:rsidR="006778C2" w:rsidRDefault="00B61FE6">
      <w:pPr>
        <w:spacing w:line="480" w:lineRule="auto"/>
        <w:ind w:firstLine="720"/>
      </w:pPr>
      <w:r>
        <w:rPr>
          <w:sz w:val="24"/>
          <w:szCs w:val="24"/>
        </w:rPr>
        <w:lastRenderedPageBreak/>
        <w:t>The 37.4% figure is itself computed from commissions paid. Line 78 of the coding for Reynolds’s report reads “Total Commissions Paid to unique humans.” (R.847-3,#12478.) Hosseinipour has never argued that earned commissions were unpaid.</w:t>
      </w:r>
    </w:p>
    <w:p w14:paraId="41E8D085" w14:textId="77777777" w:rsidR="006778C2" w:rsidRDefault="00B61FE6">
      <w:pPr>
        <w:spacing w:line="480" w:lineRule="auto"/>
        <w:ind w:firstLine="720"/>
      </w:pPr>
      <w:r>
        <w:rPr>
          <w:sz w:val="24"/>
          <w:szCs w:val="24"/>
        </w:rPr>
        <w:t xml:space="preserve">What the United States told this Court in the first appeal cannot be reconciled with what it says now. A section of that brief was titled “The Government Did Not Present False Evidence At Trial,” and it told this Court that Exhibit 101-I “was not false evidence.” Consol. Answering Br. 53, 57. It described the exhibit as showing “I2G participants’ gain and loss data tracked in his system, including . . . their commission earnings,” while acknowledging that Reynolds’s declaration “explained that certain transactions were not included in Exhibit 101-I.” Id. at 54. </w:t>
      </w:r>
      <w:r w:rsidRPr="00E15CCB">
        <w:rPr>
          <w:sz w:val="24"/>
          <w:szCs w:val="24"/>
          <w:highlight w:val="yellow"/>
        </w:rPr>
        <w:t>In its restitution motion, filed by the lead prosecutor, it described 101-I as “summarizing for each participant the value of positions held and the value of commissions earned,” and wrote that “Reynolds’ data on commissions earned reflects commissions earned, not commissions paid,” because “[d]ata on commissions paid can be found on Jayme Amirie’s Global Payroll records.” (R.708,#11219.)</w:t>
      </w:r>
      <w:r>
        <w:rPr>
          <w:sz w:val="24"/>
          <w:szCs w:val="24"/>
        </w:rPr>
        <w:t xml:space="preserve"> It now writes that the spreadsheet “does not include data on commissions earned.” Appellee Br. 6. These positions cannot be reconciled. </w:t>
      </w:r>
      <w:r w:rsidRPr="00E15CCB">
        <w:rPr>
          <w:sz w:val="24"/>
          <w:szCs w:val="24"/>
          <w:highlight w:val="yellow"/>
        </w:rPr>
        <w:t>Their effect was not incidental: a loss rate of 96% made I2G look like a scheme in which everyone lost, rather than a multi-level marketing company performing better than the lawful industry average Dr. Keep described. That was the premise on which Hosseinipour was charged with recognizing a fraud.</w:t>
      </w:r>
      <w:r>
        <w:rPr>
          <w:sz w:val="24"/>
          <w:szCs w:val="24"/>
        </w:rPr>
        <w:t xml:space="preserve"> “The United States Attorney’s word is worth considerably less when, as here, it is manifest that he made conflicting representations to the court below.” White, 492 F.3d at 412.</w:t>
      </w:r>
    </w:p>
    <w:p w14:paraId="1B944487" w14:textId="77777777" w:rsidR="006778C2" w:rsidRDefault="00B61FE6">
      <w:pPr>
        <w:spacing w:line="480" w:lineRule="auto"/>
        <w:ind w:firstLine="720"/>
      </w:pPr>
      <w:r>
        <w:rPr>
          <w:sz w:val="24"/>
          <w:szCs w:val="24"/>
        </w:rPr>
        <w:t xml:space="preserve">Exhibit 101-I is the Global Payroll channel the United States once said it was not. The United States built a table comparing 101-I against Global Payroll records for twenty-six participants to show that “the data from Exhibit 101i is largely corroborated by Global Payroll records.” (R.859,#12435-36.) For Wells and </w:t>
      </w:r>
      <w:proofErr w:type="gramStart"/>
      <w:r>
        <w:rPr>
          <w:sz w:val="24"/>
          <w:szCs w:val="24"/>
        </w:rPr>
        <w:t>Brown</w:t>
      </w:r>
      <w:proofErr w:type="gramEnd"/>
      <w:r>
        <w:rPr>
          <w:sz w:val="24"/>
          <w:szCs w:val="24"/>
        </w:rPr>
        <w:t xml:space="preserve"> the columns are identical — </w:t>
      </w:r>
      <w:r>
        <w:rPr>
          <w:sz w:val="24"/>
          <w:szCs w:val="24"/>
        </w:rPr>
        <w:lastRenderedPageBreak/>
        <w:t>$26,273.51 and $13,304.48. It reports that channel and nothing else</w:t>
      </w:r>
      <w:r w:rsidRPr="002F698C">
        <w:rPr>
          <w:sz w:val="24"/>
          <w:szCs w:val="24"/>
          <w:highlight w:val="yellow"/>
        </w:rPr>
        <w:t xml:space="preserve">. The boundary has an explanation: the United States told the district court that Global Payroll “continue[d] until October 13th” of 2014, when it “terminated the services”; that </w:t>
      </w:r>
      <w:proofErr w:type="spellStart"/>
      <w:r w:rsidRPr="002F698C">
        <w:rPr>
          <w:sz w:val="24"/>
          <w:szCs w:val="24"/>
          <w:highlight w:val="yellow"/>
        </w:rPr>
        <w:t>i</w:t>
      </w:r>
      <w:proofErr w:type="spellEnd"/>
      <w:r w:rsidRPr="002F698C">
        <w:rPr>
          <w:sz w:val="24"/>
          <w:szCs w:val="24"/>
          <w:highlight w:val="yellow"/>
        </w:rPr>
        <w:t xml:space="preserve">-Payout “was the second company that succeeded” it; that </w:t>
      </w:r>
      <w:proofErr w:type="spellStart"/>
      <w:r w:rsidRPr="002F698C">
        <w:rPr>
          <w:sz w:val="24"/>
          <w:szCs w:val="24"/>
          <w:highlight w:val="yellow"/>
        </w:rPr>
        <w:t>i</w:t>
      </w:r>
      <w:proofErr w:type="spellEnd"/>
      <w:r w:rsidRPr="002F698C">
        <w:rPr>
          <w:sz w:val="24"/>
          <w:szCs w:val="24"/>
          <w:highlight w:val="yellow"/>
        </w:rPr>
        <w:t>-Payout records were not in evidence; and that bank records ran “through the end of 2014.” (R.718,#11360.) Exhibit 101-F’s dated records stop October 8, 2014, while USA-007240 records $5,354,190.58 in commission transactions after that date.</w:t>
      </w:r>
    </w:p>
    <w:p w14:paraId="2215AA17" w14:textId="77777777" w:rsidR="006778C2" w:rsidRDefault="00B61FE6">
      <w:pPr>
        <w:spacing w:line="480" w:lineRule="auto"/>
        <w:ind w:firstLine="720"/>
      </w:pPr>
      <w:r>
        <w:rPr>
          <w:sz w:val="24"/>
          <w:szCs w:val="24"/>
        </w:rPr>
        <w:t xml:space="preserve">The exhibits also do not describe I2G alone. The United States’ exhibit list groups the 101 series under “I2G Records.” (R.438,#3398.) Four of them — 101-B, 101-D, 101-G.2 and 101-I — share the Bates number US-126786, and 101-H runs to March 16, 2017. Exhibit 101-I has no date field, but its population can be dated: Exhibit 101-D lists the same participants by </w:t>
      </w:r>
      <w:proofErr w:type="spellStart"/>
      <w:r>
        <w:rPr>
          <w:sz w:val="24"/>
          <w:szCs w:val="24"/>
        </w:rPr>
        <w:t>DealerID</w:t>
      </w:r>
      <w:proofErr w:type="spellEnd"/>
      <w:r>
        <w:rPr>
          <w:sz w:val="24"/>
          <w:szCs w:val="24"/>
        </w:rPr>
        <w:t xml:space="preserve"> with enrollment dates running to March 9, 2017, and Reynolds testified those dates cannot be altered because they record “the actual date that their application came into the system.” (R.497,#4081.) The indictment charged conduct ending December 31, 2014, and alleged I2G’s “existence” ran to July 22, 2014. (R.230,#1455, 1461.) Four thousand fifty-seven entries — 17.1% — enrolled after the charged conduct, with $3,679,594.62 in purchases counted as $3,363,792.78 in loss. None could be gainers; the gain column had closed.</w:t>
      </w:r>
    </w:p>
    <w:p w14:paraId="342AECED" w14:textId="4AB85441" w:rsidR="006778C2" w:rsidRDefault="00B61FE6">
      <w:pPr>
        <w:spacing w:line="480" w:lineRule="auto"/>
        <w:ind w:firstLine="720"/>
      </w:pPr>
      <w:r>
        <w:rPr>
          <w:sz w:val="24"/>
          <w:szCs w:val="24"/>
        </w:rPr>
        <w:t>Reynolds confirmed each exhibit represented I2G. Asked whether 101-I contained “I2G records that show all the participants’ gain and loss data,” he answered yes; asked “[f]or all the participants in I2G?” yes again. (R.498,#4163-64.) Agent Sauber, asked whether the 2016 and 2017 sales “were for a different company,” answered: “I don’t know.” (R.663,#6572.) Counsel raised it directly: told that the chart Dr. Keep relied upon “includes a completely separate company” and that “the dates there go through the 2017,” the United States was asked for “comment upon that.” (</w:t>
      </w:r>
      <w:r>
        <w:rPr>
          <w:i/>
          <w:iCs/>
          <w:sz w:val="24"/>
          <w:szCs w:val="24"/>
        </w:rPr>
        <w:t>Id.</w:t>
      </w:r>
      <w:r>
        <w:rPr>
          <w:sz w:val="24"/>
          <w:szCs w:val="24"/>
        </w:rPr>
        <w:t xml:space="preserve"> at #6521.) None was given. At sentencing it </w:t>
      </w:r>
      <w:r>
        <w:rPr>
          <w:sz w:val="24"/>
          <w:szCs w:val="24"/>
        </w:rPr>
        <w:lastRenderedPageBreak/>
        <w:t xml:space="preserve">told the court that $3.4 million in Exhibit 101-B’s sales came in after the </w:t>
      </w:r>
      <w:r w:rsidR="002F698C">
        <w:rPr>
          <w:sz w:val="24"/>
          <w:szCs w:val="24"/>
        </w:rPr>
        <w:t xml:space="preserve">2015 </w:t>
      </w:r>
      <w:r>
        <w:rPr>
          <w:sz w:val="24"/>
          <w:szCs w:val="24"/>
        </w:rPr>
        <w:t>search warrant. (</w:t>
      </w:r>
      <w:r>
        <w:rPr>
          <w:i/>
          <w:iCs/>
          <w:sz w:val="24"/>
          <w:szCs w:val="24"/>
        </w:rPr>
        <w:t>Id.</w:t>
      </w:r>
      <w:r>
        <w:rPr>
          <w:sz w:val="24"/>
          <w:szCs w:val="24"/>
        </w:rPr>
        <w:t xml:space="preserve"> at #6593.) The duty to correct was the Government’s. </w:t>
      </w:r>
      <w:proofErr w:type="spellStart"/>
      <w:r>
        <w:rPr>
          <w:i/>
          <w:iCs/>
          <w:sz w:val="24"/>
          <w:szCs w:val="24"/>
        </w:rPr>
        <w:t>Napue</w:t>
      </w:r>
      <w:proofErr w:type="spellEnd"/>
      <w:r>
        <w:rPr>
          <w:sz w:val="24"/>
          <w:szCs w:val="24"/>
        </w:rPr>
        <w:t>, 360 U.S. at 269.</w:t>
      </w:r>
    </w:p>
    <w:p w14:paraId="6DD01F41" w14:textId="77777777" w:rsidR="006778C2" w:rsidRDefault="00B61FE6">
      <w:pPr>
        <w:spacing w:line="480" w:lineRule="auto"/>
        <w:ind w:firstLine="720"/>
      </w:pPr>
      <w:r>
        <w:rPr>
          <w:sz w:val="24"/>
          <w:szCs w:val="24"/>
        </w:rPr>
        <w:t>The deficiency the prior panel credited — that the spreadsheet “might not have included every payment that I2G made” outside the system — addressed payments the system would not track. This concerns 54,982 commission transactions the system recorded and executed. Asked whether “[t]he commissions are always trackable through Firestorm,” Reynolds answered: “Yes. Yes.” (R.498,#4216.) Her reply drew that distinction below, (R.860,#12458), and the order does not address it.</w:t>
      </w:r>
    </w:p>
    <w:p w14:paraId="644BF4AD" w14:textId="77777777" w:rsidR="006778C2" w:rsidRDefault="00B61FE6">
      <w:pPr>
        <w:spacing w:line="480" w:lineRule="auto"/>
        <w:ind w:firstLine="720"/>
      </w:pPr>
      <w:r>
        <w:rPr>
          <w:sz w:val="24"/>
          <w:szCs w:val="24"/>
        </w:rPr>
        <w:t xml:space="preserve">Reynolds flagged a related problem and it went uncorrected. Asked “at a later time” for a “shorter version” of the structure spreadsheet, he produced one by condensing out columns “not really relevant to what we were talking about” — the same process applied to USA-007240. (R.498,#4136.) Told the shorter version had more rows, </w:t>
      </w:r>
      <w:r w:rsidRPr="002F698C">
        <w:rPr>
          <w:sz w:val="24"/>
          <w:szCs w:val="24"/>
          <w:highlight w:val="yellow"/>
        </w:rPr>
        <w:t>he said “they should have been the same” and “that should not be . . . I would need to see that other spreadsheet to see what the difference was.” (</w:t>
      </w:r>
      <w:r w:rsidRPr="002F698C">
        <w:rPr>
          <w:i/>
          <w:iCs/>
          <w:sz w:val="24"/>
          <w:szCs w:val="24"/>
          <w:highlight w:val="yellow"/>
        </w:rPr>
        <w:t>Id.</w:t>
      </w:r>
      <w:r w:rsidRPr="002F698C">
        <w:rPr>
          <w:sz w:val="24"/>
          <w:szCs w:val="24"/>
          <w:highlight w:val="yellow"/>
        </w:rPr>
        <w:t xml:space="preserve"> at #4137.) The court admitted the first, which ends August 6, 2015. Exhibit 101-I’s population is the </w:t>
      </w:r>
      <w:proofErr w:type="gramStart"/>
      <w:r w:rsidRPr="002F698C">
        <w:rPr>
          <w:sz w:val="24"/>
          <w:szCs w:val="24"/>
          <w:highlight w:val="yellow"/>
        </w:rPr>
        <w:t>second’s</w:t>
      </w:r>
      <w:proofErr w:type="gramEnd"/>
      <w:r w:rsidRPr="002F698C">
        <w:rPr>
          <w:sz w:val="24"/>
          <w:szCs w:val="24"/>
          <w:highlight w:val="yellow"/>
        </w:rPr>
        <w:t>. The difference was never explained.</w:t>
      </w:r>
    </w:p>
    <w:p w14:paraId="50F6789F" w14:textId="77777777" w:rsidR="006778C2" w:rsidRDefault="00B61FE6">
      <w:pPr>
        <w:spacing w:line="480" w:lineRule="auto"/>
        <w:ind w:firstLine="720"/>
      </w:pPr>
      <w:r>
        <w:rPr>
          <w:sz w:val="24"/>
          <w:szCs w:val="24"/>
        </w:rPr>
        <w:t xml:space="preserve">Exhibit 230 shows the same defect. McClelland testified its “Emperor Sales” line was not a record of sales: he took </w:t>
      </w:r>
      <w:proofErr w:type="spellStart"/>
      <w:r>
        <w:rPr>
          <w:sz w:val="24"/>
          <w:szCs w:val="24"/>
        </w:rPr>
        <w:t>Maike’s</w:t>
      </w:r>
      <w:proofErr w:type="spellEnd"/>
      <w:r>
        <w:rPr>
          <w:sz w:val="24"/>
          <w:szCs w:val="24"/>
        </w:rPr>
        <w:t xml:space="preserve"> enrollment list and would “multiply those — those emperor positions by $5,000 each to calculate what the sales would have been.” (R.700,#10498.) Mr. Meyer objected that it was “not a summary” but “a calculation”; the objection was overruled. (</w:t>
      </w:r>
      <w:r>
        <w:rPr>
          <w:i/>
          <w:iCs/>
          <w:sz w:val="24"/>
          <w:szCs w:val="24"/>
        </w:rPr>
        <w:t>Id.</w:t>
      </w:r>
      <w:r>
        <w:rPr>
          <w:sz w:val="24"/>
          <w:szCs w:val="24"/>
        </w:rPr>
        <w:t xml:space="preserve"> at #10499-500.) The jury was then given the inference the chart was built for: because assumed sales exceeded deposits, “there is just some unaccounted-for revenue.” (</w:t>
      </w:r>
      <w:r>
        <w:rPr>
          <w:i/>
          <w:iCs/>
          <w:sz w:val="24"/>
          <w:szCs w:val="24"/>
        </w:rPr>
        <w:t>Id.</w:t>
      </w:r>
      <w:r>
        <w:rPr>
          <w:sz w:val="24"/>
          <w:szCs w:val="24"/>
        </w:rPr>
        <w:t xml:space="preserve"> at #10525.) Packages bought with commissions generated no bank deposit. The $17,027,322.28 in transfers removed from 101-I served twice — missing from the gain column, they made participants losers; missing from the bank, they became evidence of concealment. McClelland testified that Reynolds’s system “would show amounts as high as </w:t>
      </w:r>
      <w:r>
        <w:rPr>
          <w:sz w:val="24"/>
          <w:szCs w:val="24"/>
        </w:rPr>
        <w:lastRenderedPageBreak/>
        <w:t>30 or 40 million dollars,” but “was this used in my summary chart, it was not”; he used “the bank records and the Global Payroll records, two different things.” (R.688,#9052.) He was describing his own charts, not Exhibit 101-I.</w:t>
      </w:r>
    </w:p>
    <w:p w14:paraId="1A7E5B8F" w14:textId="77777777" w:rsidR="006778C2" w:rsidRDefault="00B61FE6">
      <w:pPr>
        <w:spacing w:line="480" w:lineRule="auto"/>
        <w:ind w:firstLine="720"/>
      </w:pPr>
      <w:r>
        <w:rPr>
          <w:sz w:val="24"/>
          <w:szCs w:val="24"/>
        </w:rPr>
        <w:t>The United States offers Exhibit 232 as “independent[]” corroboration of the 96% figure. Appellee Br. 22. On direct appeal it conceded the court “erred in admitting Exhibits 230 and 232” and that 232 “was based in part on records of payments from the Global Gateway payroll system,” and argued harmlessness because “evidence from Jerry Reynolds’s system independently established that 96 percent of I2G participants lost money” — citing, as here, Dr. Keep’s calculation on the filtered extract. Consol. Answering Br. 84-85. An exhibit cannot rest on the Global Payroll records, be harmlessly irrelevant in 2025, and independently corroborate those records in 2026.</w:t>
      </w:r>
    </w:p>
    <w:p w14:paraId="7C8B30B9" w14:textId="77777777" w:rsidR="006778C2" w:rsidRDefault="00B61FE6">
      <w:pPr>
        <w:spacing w:before="240" w:after="120" w:line="480" w:lineRule="auto"/>
      </w:pPr>
      <w:r>
        <w:rPr>
          <w:b/>
          <w:bCs/>
          <w:sz w:val="24"/>
          <w:szCs w:val="24"/>
        </w:rPr>
        <w:t>III.</w:t>
      </w:r>
      <w:r>
        <w:rPr>
          <w:b/>
          <w:bCs/>
          <w:sz w:val="24"/>
          <w:szCs w:val="24"/>
        </w:rPr>
        <w:tab/>
        <w:t>The district court erred by denying a new trial based on newly discovered evidence.</w:t>
      </w:r>
    </w:p>
    <w:p w14:paraId="02D916C2" w14:textId="77777777" w:rsidR="006778C2" w:rsidRDefault="00B61FE6">
      <w:pPr>
        <w:spacing w:line="480" w:lineRule="auto"/>
        <w:ind w:firstLine="720"/>
      </w:pPr>
      <w:r>
        <w:rPr>
          <w:sz w:val="24"/>
          <w:szCs w:val="24"/>
        </w:rPr>
        <w:t>The United States says Hosseinipour “raised this argument twice before, both as part of her restitution argument and part of her first appeal.” Appellee Br. 12. Those filings are dated April 6 and October 27, 2023. Neither mentions that Reynolds’s system shows 37.4% of participants were net gainers, because Hosseinipour did not learn it until his declaration of September 8, 2025.</w:t>
      </w:r>
    </w:p>
    <w:p w14:paraId="5D4AB32B" w14:textId="77777777" w:rsidR="006778C2" w:rsidRDefault="00B61FE6">
      <w:pPr>
        <w:spacing w:line="480" w:lineRule="auto"/>
        <w:ind w:firstLine="720"/>
      </w:pPr>
      <w:r>
        <w:rPr>
          <w:sz w:val="24"/>
          <w:szCs w:val="24"/>
        </w:rPr>
        <w:t>Two post-trial disclosures proved the claim, and neither would have sufficed alone. The first was the Government’s admission that the data had been substituted — that Reynolds said USA-007240 “needs to be corrected” and “produced the corrected version . . . that was 101-F that was used at trial.” (R.718,#11345.) The second was Reynolds’s explanation of what the substitution removed. Before the admission, nothing identified 101-I as drawn from a different source than the records produced in 2017. Before the explanation, nothing identified the field that produced the difference.</w:t>
      </w:r>
    </w:p>
    <w:p w14:paraId="15C85649" w14:textId="77777777" w:rsidR="006778C2" w:rsidRDefault="00B61FE6">
      <w:pPr>
        <w:spacing w:before="240" w:after="120" w:line="480" w:lineRule="auto"/>
        <w:ind w:left="720"/>
      </w:pPr>
      <w:r>
        <w:rPr>
          <w:b/>
          <w:bCs/>
          <w:sz w:val="24"/>
          <w:szCs w:val="24"/>
        </w:rPr>
        <w:lastRenderedPageBreak/>
        <w:t>A.</w:t>
      </w:r>
      <w:r>
        <w:rPr>
          <w:b/>
          <w:bCs/>
          <w:sz w:val="24"/>
          <w:szCs w:val="24"/>
        </w:rPr>
        <w:tab/>
        <w:t>The district court erred by denying an evidentiary hearing.</w:t>
      </w:r>
    </w:p>
    <w:p w14:paraId="41A2FAF2" w14:textId="77777777" w:rsidR="006778C2" w:rsidRDefault="00B61FE6">
      <w:pPr>
        <w:spacing w:line="480" w:lineRule="auto"/>
        <w:ind w:firstLine="720"/>
      </w:pPr>
      <w:r>
        <w:rPr>
          <w:sz w:val="24"/>
          <w:szCs w:val="24"/>
        </w:rPr>
        <w:t>A defendant need show only “a modicum of evidence” to obtain a hearing. United States v. Allen, 254 F. App’x 475, 478 (6th Cir. 2007) (citing United States v. Bass, 460 F.3d 830, 838 (6th Cir. 2006)). A district court “abuses its discretion when it relies on clearly erroneous findings of fact, uses an erroneous legal standard, or improperly applies the law,” and “cannot know” the answer “absent more detailed examination.” White, 492 F.3d at 408, 412-13. Nor is a contested issue “conclusively determined either by the motion itself or by the ‘files and records’ in the trial court.” Machibroda v. United States, 368 U.S. 487, 494 (1962). The United States says the district court gave “two independent reasons” beyond its stated skepticism — that the evidence was not new and could have been found with diligence. Appellee Br. 29. Those are Rule 33 factors. In White this Court remanded for a hearing on the Brady claim and expressly “d[id] not rule on Defendants’ alternative claim under Federal Rule of Criminal Procedure 33.” Id. at 413. The United States also invokes O’Dell, where the new evidence was “of minor significance” viewed “in light of the entire record.” 805 F.2d at 643. That evidence was one witness’s exculpatory statement. This is the exhibit that produced the 96% loss rate. Removing $28,670,985.50 from its gain column, and $22.9 million in losses that never occurred, is not minor.</w:t>
      </w:r>
    </w:p>
    <w:p w14:paraId="2481FA3F" w14:textId="77777777" w:rsidR="006778C2" w:rsidRPr="00C86543" w:rsidRDefault="00B61FE6">
      <w:pPr>
        <w:spacing w:line="480" w:lineRule="auto"/>
        <w:ind w:firstLine="720"/>
      </w:pPr>
      <w:r w:rsidRPr="00C86543">
        <w:rPr>
          <w:sz w:val="24"/>
          <w:szCs w:val="24"/>
        </w:rPr>
        <w:t xml:space="preserve">This Court applied that rule in this case fourteen months ago. </w:t>
      </w:r>
      <w:proofErr w:type="spellStart"/>
      <w:r w:rsidRPr="00C86543">
        <w:rPr>
          <w:sz w:val="24"/>
          <w:szCs w:val="24"/>
        </w:rPr>
        <w:t>Hosseinipour’s</w:t>
      </w:r>
      <w:proofErr w:type="spellEnd"/>
      <w:r w:rsidRPr="00C86543">
        <w:rPr>
          <w:sz w:val="24"/>
          <w:szCs w:val="24"/>
        </w:rPr>
        <w:t xml:space="preserve"> earlier Rule 33 motion was denied without a hearing on the court’s recollection of a plea colloquy. “But that colloquy never happened. The court’s denial of </w:t>
      </w:r>
      <w:proofErr w:type="spellStart"/>
      <w:r w:rsidRPr="00C86543">
        <w:rPr>
          <w:sz w:val="24"/>
          <w:szCs w:val="24"/>
        </w:rPr>
        <w:t>Hosseinipour’s</w:t>
      </w:r>
      <w:proofErr w:type="spellEnd"/>
      <w:r w:rsidRPr="00C86543">
        <w:rPr>
          <w:sz w:val="24"/>
          <w:szCs w:val="24"/>
        </w:rPr>
        <w:t xml:space="preserve"> motion thus rested on a factual finding that was clearly erroneous, and she had no opportunity to correct that finding through an evidentiary hearing. Hence we must vacate.” </w:t>
      </w:r>
      <w:r w:rsidRPr="00C86543">
        <w:rPr>
          <w:i/>
          <w:iCs/>
          <w:sz w:val="24"/>
          <w:szCs w:val="24"/>
        </w:rPr>
        <w:t xml:space="preserve">United States v. </w:t>
      </w:r>
      <w:proofErr w:type="spellStart"/>
      <w:r w:rsidRPr="00C86543">
        <w:rPr>
          <w:i/>
          <w:iCs/>
          <w:sz w:val="24"/>
          <w:szCs w:val="24"/>
        </w:rPr>
        <w:t>Maike</w:t>
      </w:r>
      <w:proofErr w:type="spellEnd"/>
      <w:r w:rsidRPr="00C86543">
        <w:rPr>
          <w:sz w:val="24"/>
          <w:szCs w:val="24"/>
        </w:rPr>
        <w:t>, No. 22-6114, 2025 WL 1770555, at *16-17 (6th Cir. June 26, 2025).</w:t>
      </w:r>
    </w:p>
    <w:p w14:paraId="2969FEAE" w14:textId="77777777" w:rsidR="006778C2" w:rsidRPr="00C86543" w:rsidRDefault="00B61FE6">
      <w:pPr>
        <w:spacing w:line="480" w:lineRule="auto"/>
        <w:ind w:firstLine="720"/>
      </w:pPr>
      <w:r w:rsidRPr="00C86543">
        <w:rPr>
          <w:sz w:val="24"/>
          <w:szCs w:val="24"/>
        </w:rPr>
        <w:t xml:space="preserve">The order under review rests on four findings the record contradicts. First, it holds that the defendants never “alleged” the United States possessed the database, two pages after </w:t>
      </w:r>
      <w:r w:rsidRPr="00C86543">
        <w:rPr>
          <w:sz w:val="24"/>
          <w:szCs w:val="24"/>
        </w:rPr>
        <w:lastRenderedPageBreak/>
        <w:t>reciting that allegation. (R.865,#12494, 12492.) Reynolds’s declaration confirms it: the instance “permitted this data to be seen and calculated.” (R.847-2,#12222.) A court may disbelieve a declarant. It may not find that no allegation was made while reciting it.</w:t>
      </w:r>
    </w:p>
    <w:p w14:paraId="104182C3" w14:textId="77777777" w:rsidR="006778C2" w:rsidRPr="00C86543" w:rsidRDefault="00B61FE6">
      <w:pPr>
        <w:spacing w:line="480" w:lineRule="auto"/>
        <w:ind w:firstLine="720"/>
      </w:pPr>
      <w:r w:rsidRPr="00C86543">
        <w:rPr>
          <w:sz w:val="24"/>
          <w:szCs w:val="24"/>
        </w:rPr>
        <w:t>Second, it holds that Hosseinipour cited “no evidence in the record to support the existence of such an instruction.” (Id. at #12494.) The record contains her motion, Reynolds’s testimony that the government asked him to extract the data, the raw commission records, her charts, the prosecutor’s account of the substitution, and the order’s own finding that the United States subpoenaed specific data from the database.</w:t>
      </w:r>
    </w:p>
    <w:p w14:paraId="3C422950" w14:textId="77777777" w:rsidR="006778C2" w:rsidRPr="00C86543" w:rsidRDefault="00B61FE6">
      <w:pPr>
        <w:spacing w:line="480" w:lineRule="auto"/>
        <w:ind w:firstLine="720"/>
      </w:pPr>
      <w:r w:rsidRPr="00C86543">
        <w:rPr>
          <w:sz w:val="24"/>
          <w:szCs w:val="24"/>
        </w:rPr>
        <w:t>Third, it applies its standard in one direction. It discounts her raw commission evidence because it “adds data through December of 2019” and “these additional four years fall well outside the conduct charged in the indictment.” (Id. at #12432.) There are no four years. The file contains no 2018 data and a single record dated 2019 — a $600 bonus whose ActualCreateDate field reads January 24, 2017. Its remaining additions total $934,480.81 and fall in 2015 and 2016, within the period Exhibits 101-B, 101-D, 101-G.2, 101-H and 101-I each cover through March 2017. Her reply answered that “the primary spreadsheets that the Government relied on at trial had this same flaw, and those spreadsheets even included data from a separate company.” (R.860,#12457.) The order does not address it.</w:t>
      </w:r>
    </w:p>
    <w:p w14:paraId="5137BDED" w14:textId="77777777" w:rsidR="006778C2" w:rsidRPr="00C86543" w:rsidRDefault="00B61FE6">
      <w:pPr>
        <w:spacing w:line="480" w:lineRule="auto"/>
        <w:ind w:firstLine="720"/>
      </w:pPr>
      <w:r w:rsidRPr="00C86543">
        <w:rPr>
          <w:sz w:val="24"/>
          <w:szCs w:val="24"/>
        </w:rPr>
        <w:t>Fourth, it rests the diligence holding on “the Maikes’ long-standing relationship with Reynolds.” (Id. at #12500-01.) Hosseinipour is not a Maike. The order’s further finding that the “assertions that efforts to communicate were stymied because Reynolds or his businesses had retained counsel is unpersuasive” is contradicted by Reynolds’s own testimony that he would “not communicate with anybody except my attorney.” (R.498,#4219.)</w:t>
      </w:r>
    </w:p>
    <w:p w14:paraId="625C311A" w14:textId="77777777" w:rsidR="006778C2" w:rsidRDefault="00B61FE6">
      <w:pPr>
        <w:spacing w:line="480" w:lineRule="auto"/>
        <w:ind w:firstLine="720"/>
      </w:pPr>
      <w:r w:rsidRPr="00C86543">
        <w:rPr>
          <w:sz w:val="24"/>
          <w:szCs w:val="24"/>
        </w:rPr>
        <w:t xml:space="preserve">The order also never addresses </w:t>
      </w:r>
      <w:proofErr w:type="spellStart"/>
      <w:r w:rsidRPr="00C86543">
        <w:rPr>
          <w:sz w:val="24"/>
          <w:szCs w:val="24"/>
        </w:rPr>
        <w:t>Hosseinipour’s</w:t>
      </w:r>
      <w:proofErr w:type="spellEnd"/>
      <w:r w:rsidRPr="00C86543">
        <w:rPr>
          <w:sz w:val="24"/>
          <w:szCs w:val="24"/>
        </w:rPr>
        <w:t xml:space="preserve"> central argument. It acknowledges that 101-I “might overstate how many participants lost money,” then treats the omitted commissions as “paper earnings” in a footnote that cites nothing and assumes a $5,000 cash </w:t>
      </w:r>
      <w:r w:rsidRPr="00C86543">
        <w:rPr>
          <w:sz w:val="24"/>
          <w:szCs w:val="24"/>
        </w:rPr>
        <w:lastRenderedPageBreak/>
        <w:t>purchase rather than one made with commissions. (</w:t>
      </w:r>
      <w:r w:rsidRPr="00C86543">
        <w:rPr>
          <w:i/>
          <w:iCs/>
          <w:sz w:val="24"/>
          <w:szCs w:val="24"/>
        </w:rPr>
        <w:t>Id.</w:t>
      </w:r>
      <w:r w:rsidRPr="00C86543">
        <w:rPr>
          <w:sz w:val="24"/>
          <w:szCs w:val="24"/>
        </w:rPr>
        <w:t xml:space="preserve"> at #12495 &amp; n.4.) It never asks whether the amount of loss was overstated. The same court had agreed that it was: “that person didn’t really pay 5,000 . . . They paid 3,400. So that’s their loss. . . . An argument to the contrary would not seem reasonable to me.” (R.718,#11329.)</w:t>
      </w:r>
    </w:p>
    <w:p w14:paraId="05D48EC3" w14:textId="77777777" w:rsidR="006778C2" w:rsidRDefault="00B61FE6">
      <w:pPr>
        <w:spacing w:line="480" w:lineRule="auto"/>
        <w:ind w:firstLine="720"/>
      </w:pPr>
      <w:r>
        <w:rPr>
          <w:sz w:val="24"/>
          <w:szCs w:val="24"/>
        </w:rPr>
        <w:t xml:space="preserve">Two questions cannot be answered on this record. Exhibit 101-I reports $9,539,827.52 as requested and paid, yet $1,701,615.38 of it consists of records Reynolds identified as never sent. And Exhibit 101-E reports $310,766.01 in commissions to </w:t>
      </w:r>
      <w:proofErr w:type="spellStart"/>
      <w:r>
        <w:rPr>
          <w:sz w:val="24"/>
          <w:szCs w:val="24"/>
        </w:rPr>
        <w:t>Hosseinipour’s</w:t>
      </w:r>
      <w:proofErr w:type="spellEnd"/>
      <w:r>
        <w:rPr>
          <w:sz w:val="24"/>
          <w:szCs w:val="24"/>
        </w:rPr>
        <w:t xml:space="preserve"> entities after October 8, 2014, while the checks for $306,486.72 of that sum are among Exhibit 101-F’s undated records. Only Reynolds can reconcile them — which is what the district court asked for and what the United States promised. Asked, “Are you going to call Jerry Reynolds?” the prosecutor answered: “And we will.” (R.718,#11345.) He never did.</w:t>
      </w:r>
    </w:p>
    <w:p w14:paraId="467579EC" w14:textId="77777777" w:rsidR="006778C2" w:rsidRDefault="00B61FE6">
      <w:pPr>
        <w:spacing w:before="240" w:after="240" w:line="480" w:lineRule="auto"/>
        <w:jc w:val="center"/>
      </w:pPr>
      <w:r>
        <w:rPr>
          <w:b/>
          <w:bCs/>
          <w:sz w:val="24"/>
          <w:szCs w:val="24"/>
        </w:rPr>
        <w:t>CONCLUSION</w:t>
      </w:r>
    </w:p>
    <w:p w14:paraId="23D33D96" w14:textId="77777777" w:rsidR="006778C2" w:rsidRDefault="00B61FE6">
      <w:pPr>
        <w:spacing w:line="480" w:lineRule="auto"/>
        <w:ind w:firstLine="720"/>
      </w:pPr>
      <w:r>
        <w:rPr>
          <w:sz w:val="24"/>
          <w:szCs w:val="24"/>
        </w:rPr>
        <w:t>The United States designed the methodology that produced Exhibit 101-I and has never produced the instruction that created it. It applied that methodology to some twenty thousand participants and a complete accounting to Hosseinipour, offering no explanation for the difference. It told the jury participants lost $30 million when its own exhibit showed that only $17.7 million came in and $11 million went out to distributors. It elicited testimony that $1,701,615.38 in payments “were never sent” while its trial exhibits showed payments into the summer of 2015. In 6,810 words of a 13,000-word limit, it addressed none of this.</w:t>
      </w:r>
    </w:p>
    <w:p w14:paraId="79EE57B7" w14:textId="77777777" w:rsidR="006778C2" w:rsidRDefault="00B61FE6">
      <w:pPr>
        <w:spacing w:line="480" w:lineRule="auto"/>
        <w:ind w:firstLine="720"/>
      </w:pPr>
      <w:r>
        <w:rPr>
          <w:sz w:val="24"/>
          <w:szCs w:val="24"/>
        </w:rPr>
        <w:t>Based on this record, there is no reasonable likelihood the jury would have reached the same verdict. This Court should reverse the denial of Hosseinipour’s motion for a new trial. At minimum, it should vacate and remand for an evidentiary hearing on her motion.</w:t>
      </w:r>
    </w:p>
    <w:sectPr w:rsidR="006778C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2A04CE"/>
    <w:multiLevelType w:val="hybridMultilevel"/>
    <w:tmpl w:val="1F5434EC"/>
    <w:lvl w:ilvl="0" w:tplc="B8701C5E">
      <w:start w:val="1"/>
      <w:numFmt w:val="bullet"/>
      <w:lvlText w:val="●"/>
      <w:lvlJc w:val="left"/>
      <w:pPr>
        <w:ind w:left="720" w:hanging="360"/>
      </w:pPr>
    </w:lvl>
    <w:lvl w:ilvl="1" w:tplc="8EAC0720">
      <w:start w:val="1"/>
      <w:numFmt w:val="bullet"/>
      <w:lvlText w:val="○"/>
      <w:lvlJc w:val="left"/>
      <w:pPr>
        <w:ind w:left="1440" w:hanging="360"/>
      </w:pPr>
    </w:lvl>
    <w:lvl w:ilvl="2" w:tplc="BD68F8DE">
      <w:start w:val="1"/>
      <w:numFmt w:val="bullet"/>
      <w:lvlText w:val="■"/>
      <w:lvlJc w:val="left"/>
      <w:pPr>
        <w:ind w:left="2160" w:hanging="360"/>
      </w:pPr>
    </w:lvl>
    <w:lvl w:ilvl="3" w:tplc="29A4F214">
      <w:start w:val="1"/>
      <w:numFmt w:val="bullet"/>
      <w:lvlText w:val="●"/>
      <w:lvlJc w:val="left"/>
      <w:pPr>
        <w:ind w:left="2880" w:hanging="360"/>
      </w:pPr>
    </w:lvl>
    <w:lvl w:ilvl="4" w:tplc="6A0A8618">
      <w:start w:val="1"/>
      <w:numFmt w:val="bullet"/>
      <w:lvlText w:val="○"/>
      <w:lvlJc w:val="left"/>
      <w:pPr>
        <w:ind w:left="3600" w:hanging="360"/>
      </w:pPr>
    </w:lvl>
    <w:lvl w:ilvl="5" w:tplc="AF98C8E6">
      <w:start w:val="1"/>
      <w:numFmt w:val="bullet"/>
      <w:lvlText w:val="■"/>
      <w:lvlJc w:val="left"/>
      <w:pPr>
        <w:ind w:left="4320" w:hanging="360"/>
      </w:pPr>
    </w:lvl>
    <w:lvl w:ilvl="6" w:tplc="D9B6D63E">
      <w:start w:val="1"/>
      <w:numFmt w:val="bullet"/>
      <w:lvlText w:val="●"/>
      <w:lvlJc w:val="left"/>
      <w:pPr>
        <w:ind w:left="5040" w:hanging="360"/>
      </w:pPr>
    </w:lvl>
    <w:lvl w:ilvl="7" w:tplc="B16E4C6A">
      <w:start w:val="1"/>
      <w:numFmt w:val="bullet"/>
      <w:lvlText w:val="●"/>
      <w:lvlJc w:val="left"/>
      <w:pPr>
        <w:ind w:left="5760" w:hanging="360"/>
      </w:pPr>
    </w:lvl>
    <w:lvl w:ilvl="8" w:tplc="D122A63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8C2"/>
    <w:rsid w:val="002F698C"/>
    <w:rsid w:val="00620ABA"/>
    <w:rsid w:val="00623BBE"/>
    <w:rsid w:val="006778C2"/>
    <w:rsid w:val="006E083C"/>
    <w:rsid w:val="007D1616"/>
    <w:rsid w:val="0089384E"/>
    <w:rsid w:val="009F2CD1"/>
    <w:rsid w:val="00B61FE6"/>
    <w:rsid w:val="00C86543"/>
    <w:rsid w:val="00E15CCB"/>
    <w:rsid w:val="00E65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41081"/>
  <w15:docId w15:val="{532A5199-6FE5-48EA-A524-54AE6B42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5112</Words>
  <Characters>29141</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Faraday Hosseinipour</cp:lastModifiedBy>
  <cp:revision>2</cp:revision>
  <dcterms:created xsi:type="dcterms:W3CDTF">2026-10-10T17:27:00Z</dcterms:created>
  <dcterms:modified xsi:type="dcterms:W3CDTF">2026-10-10T17:27:00Z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b5d01223-315e-4094-ab36-386abce32dff</vt:lpwstr>
  </property>
</Properties>
</file>