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1D253" w14:textId="77777777" w:rsidR="00A110CB" w:rsidRPr="00A110CB" w:rsidRDefault="00A110CB" w:rsidP="00A110CB">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A110CB">
        <w:rPr>
          <w:rFonts w:ascii="Times New Roman" w:eastAsia="Times New Roman" w:hAnsi="Times New Roman" w:cs="Times New Roman"/>
          <w:b/>
          <w:bCs/>
          <w:kern w:val="36"/>
          <w:sz w:val="28"/>
          <w:szCs w:val="28"/>
        </w:rPr>
        <w:t>UNITED STATES DISTRICT COURT</w:t>
      </w:r>
    </w:p>
    <w:p w14:paraId="5D3E786B" w14:textId="77777777" w:rsidR="00A110CB" w:rsidRPr="00A110CB" w:rsidRDefault="00A110CB" w:rsidP="00A110CB">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A110CB">
        <w:rPr>
          <w:rFonts w:ascii="Times New Roman" w:eastAsia="Times New Roman" w:hAnsi="Times New Roman" w:cs="Times New Roman"/>
          <w:b/>
          <w:bCs/>
          <w:kern w:val="36"/>
          <w:sz w:val="28"/>
          <w:szCs w:val="28"/>
        </w:rPr>
        <w:t>EASTERN DISTRICT OF KENTUCKY</w:t>
      </w:r>
    </w:p>
    <w:p w14:paraId="409E788A" w14:textId="77777777" w:rsidR="00A110CB" w:rsidRPr="00A110CB" w:rsidRDefault="00A110CB" w:rsidP="00A110CB">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A110CB">
        <w:rPr>
          <w:rFonts w:ascii="Times New Roman" w:eastAsia="Times New Roman" w:hAnsi="Times New Roman" w:cs="Times New Roman"/>
          <w:b/>
          <w:bCs/>
          <w:kern w:val="36"/>
          <w:sz w:val="28"/>
          <w:szCs w:val="28"/>
        </w:rPr>
        <w:t>[DIVISION]</w:t>
      </w:r>
    </w:p>
    <w:p w14:paraId="1A830D8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United States of America,</w:t>
      </w:r>
      <w:r w:rsidRPr="00A110CB">
        <w:rPr>
          <w:rFonts w:ascii="Times New Roman" w:eastAsia="Times New Roman" w:hAnsi="Times New Roman" w:cs="Times New Roman"/>
          <w:sz w:val="28"/>
          <w:szCs w:val="28"/>
        </w:rPr>
        <w:br/>
        <w:t>Plaintiff,</w:t>
      </w:r>
    </w:p>
    <w:p w14:paraId="30AB44F2"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v. Case No. [Insert Case Number]</w:t>
      </w:r>
    </w:p>
    <w:p w14:paraId="3580BB4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[First Name Last Name] Hosseinipour,</w:t>
      </w:r>
      <w:r w:rsidRPr="00A110CB">
        <w:rPr>
          <w:rFonts w:ascii="Times New Roman" w:eastAsia="Times New Roman" w:hAnsi="Times New Roman" w:cs="Times New Roman"/>
          <w:sz w:val="28"/>
          <w:szCs w:val="28"/>
        </w:rPr>
        <w:br/>
        <w:t>Defendant.</w:t>
      </w:r>
    </w:p>
    <w:p w14:paraId="269D5196"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1325322B">
          <v:rect id="_x0000_i1025" style="width:0;height:1.5pt" o:hralign="center" o:hrstd="t" o:hr="t" fillcolor="#a0a0a0" stroked="f"/>
        </w:pict>
      </w:r>
    </w:p>
    <w:p w14:paraId="7C4FA335"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DEFENDANT HOSSEINIPOUR'S MOTION FOR NEW TRIAL BASED ON NEWLY DISCOVERED EVIDENCE</w:t>
      </w:r>
    </w:p>
    <w:p w14:paraId="16351F8B"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1502552B">
          <v:rect id="_x0000_i1026" style="width:0;height:1.5pt" o:hralign="center" o:hrstd="t" o:hr="t" fillcolor="#a0a0a0" stroked="f"/>
        </w:pict>
      </w:r>
    </w:p>
    <w:p w14:paraId="0F07D192"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TABLE OF CONTENTS</w:t>
      </w:r>
    </w:p>
    <w:p w14:paraId="39FF78C0"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I. Introduction</w:t>
      </w:r>
      <w:r w:rsidRPr="00A110CB">
        <w:rPr>
          <w:rFonts w:ascii="Times New Roman" w:eastAsia="Times New Roman" w:hAnsi="Times New Roman" w:cs="Times New Roman"/>
          <w:sz w:val="28"/>
          <w:szCs w:val="28"/>
        </w:rPr>
        <w:br/>
        <w:t>II. Statement of Jurisdiction</w:t>
      </w:r>
      <w:r w:rsidRPr="00A110CB">
        <w:rPr>
          <w:rFonts w:ascii="Times New Roman" w:eastAsia="Times New Roman" w:hAnsi="Times New Roman" w:cs="Times New Roman"/>
          <w:sz w:val="28"/>
          <w:szCs w:val="28"/>
        </w:rPr>
        <w:br/>
        <w:t>III. Statement of Issues</w:t>
      </w:r>
      <w:r w:rsidRPr="00A110CB">
        <w:rPr>
          <w:rFonts w:ascii="Times New Roman" w:eastAsia="Times New Roman" w:hAnsi="Times New Roman" w:cs="Times New Roman"/>
          <w:sz w:val="28"/>
          <w:szCs w:val="28"/>
        </w:rPr>
        <w:br/>
        <w:t>IV. Statement of Facts</w:t>
      </w:r>
      <w:r w:rsidRPr="00A110CB">
        <w:rPr>
          <w:rFonts w:ascii="Times New Roman" w:eastAsia="Times New Roman" w:hAnsi="Times New Roman" w:cs="Times New Roman"/>
          <w:sz w:val="28"/>
          <w:szCs w:val="28"/>
        </w:rPr>
        <w:br/>
        <w:t>V. Argument</w:t>
      </w:r>
      <w:r w:rsidRPr="00A110CB">
        <w:rPr>
          <w:rFonts w:ascii="Times New Roman" w:eastAsia="Times New Roman" w:hAnsi="Times New Roman" w:cs="Times New Roman"/>
          <w:sz w:val="28"/>
          <w:szCs w:val="28"/>
        </w:rPr>
        <w:br/>
        <w:t>    A. Legal Framework: Brady, Newly Discovered Evidence, and Rule 33</w:t>
      </w:r>
      <w:r w:rsidRPr="00A110CB">
        <w:rPr>
          <w:rFonts w:ascii="Times New Roman" w:eastAsia="Times New Roman" w:hAnsi="Times New Roman" w:cs="Times New Roman"/>
          <w:sz w:val="28"/>
          <w:szCs w:val="28"/>
        </w:rPr>
        <w:br/>
        <w:t>    B. The Newly Discovered Evidence</w:t>
      </w:r>
      <w:r w:rsidRPr="00A110CB">
        <w:rPr>
          <w:rFonts w:ascii="Times New Roman" w:eastAsia="Times New Roman" w:hAnsi="Times New Roman" w:cs="Times New Roman"/>
          <w:sz w:val="28"/>
          <w:szCs w:val="28"/>
        </w:rPr>
        <w:br/>
        <w:t>    C. Brady Violations: The Live Database and Filtering Directives Were Suppressed</w:t>
      </w:r>
      <w:r w:rsidRPr="00A110CB">
        <w:rPr>
          <w:rFonts w:ascii="Times New Roman" w:eastAsia="Times New Roman" w:hAnsi="Times New Roman" w:cs="Times New Roman"/>
          <w:sz w:val="28"/>
          <w:szCs w:val="28"/>
        </w:rPr>
        <w:br/>
        <w:t>    D. Materiality: The Evidence Undermines Confidence in the Verdict</w:t>
      </w:r>
      <w:r w:rsidRPr="00A110CB">
        <w:rPr>
          <w:rFonts w:ascii="Times New Roman" w:eastAsia="Times New Roman" w:hAnsi="Times New Roman" w:cs="Times New Roman"/>
          <w:sz w:val="28"/>
          <w:szCs w:val="28"/>
        </w:rPr>
        <w:br/>
        <w:t>    E. Due Diligence and Timing</w:t>
      </w:r>
      <w:r w:rsidRPr="00A110CB">
        <w:rPr>
          <w:rFonts w:ascii="Times New Roman" w:eastAsia="Times New Roman" w:hAnsi="Times New Roman" w:cs="Times New Roman"/>
          <w:sz w:val="28"/>
          <w:szCs w:val="28"/>
        </w:rPr>
        <w:br/>
        <w:t>VI. Conclusion</w:t>
      </w:r>
    </w:p>
    <w:p w14:paraId="18C825C2"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158A1948">
          <v:rect id="_x0000_i1027" style="width:0;height:1.5pt" o:hralign="center" o:hrstd="t" o:hr="t" fillcolor="#a0a0a0" stroked="f"/>
        </w:pict>
      </w:r>
    </w:p>
    <w:p w14:paraId="515D4C4E"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I. INTRODUCTION</w:t>
      </w:r>
    </w:p>
    <w:p w14:paraId="03453B75"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Ms. Hosseinipour was convicted based on a demonstrably false narrative: that 96% of I2G participants lost money and that total commissions paid were approximately $9.5 million. The government built its case on data summaries—Exhibits 101i, 101f, 101g, 101b, and Summary Chart 232—presented through four key witnesses who assured the jury these exhibits reflected "all I2G participants," "all commissions," and "all purchases" within the charged period of August 2013 through December 31, 2014.</w:t>
      </w:r>
    </w:p>
    <w:p w14:paraId="1206B94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Post-trial evidence proves this narrative was false.</w:t>
      </w:r>
    </w:p>
    <w:p w14:paraId="26FF382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Jerry Reynolds' affidavits and newly discovered data establish:</w:t>
      </w:r>
    </w:p>
    <w:p w14:paraId="281A3312" w14:textId="77777777" w:rsidR="00A110CB" w:rsidRPr="00A110CB" w:rsidRDefault="00A110CB" w:rsidP="00A110CB">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$38 million in total tracked commissions</w:t>
      </w:r>
      <w:r w:rsidRPr="00A110CB">
        <w:rPr>
          <w:rFonts w:ascii="Times New Roman" w:eastAsia="Times New Roman" w:hAnsi="Times New Roman" w:cs="Times New Roman"/>
          <w:sz w:val="28"/>
          <w:szCs w:val="28"/>
        </w:rPr>
        <w:t xml:space="preserve">—not the $9.5 million represented at trial. The government's trial exhibits excluded over </w:t>
      </w:r>
      <w:r w:rsidRPr="00A110CB">
        <w:rPr>
          <w:rFonts w:ascii="Times New Roman" w:eastAsia="Times New Roman" w:hAnsi="Times New Roman" w:cs="Times New Roman"/>
          <w:b/>
          <w:bCs/>
          <w:sz w:val="28"/>
          <w:szCs w:val="28"/>
        </w:rPr>
        <w:t>$28 million (73%)</w:t>
      </w:r>
      <w:r w:rsidRPr="00A110CB">
        <w:rPr>
          <w:rFonts w:ascii="Times New Roman" w:eastAsia="Times New Roman" w:hAnsi="Times New Roman" w:cs="Times New Roman"/>
          <w:sz w:val="28"/>
          <w:szCs w:val="28"/>
        </w:rPr>
        <w:t xml:space="preserve"> of actual paid commissions.</w:t>
      </w:r>
    </w:p>
    <w:p w14:paraId="1025F988" w14:textId="77777777" w:rsidR="00A110CB" w:rsidRPr="00A110CB" w:rsidRDefault="00A110CB" w:rsidP="00A110CB">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37% of I2G distributors were profitable</w:t>
      </w:r>
      <w:r w:rsidRPr="00A110CB">
        <w:rPr>
          <w:rFonts w:ascii="Times New Roman" w:eastAsia="Times New Roman" w:hAnsi="Times New Roman" w:cs="Times New Roman"/>
          <w:sz w:val="28"/>
          <w:szCs w:val="28"/>
        </w:rPr>
        <w:t xml:space="preserve">—not the 4% represented at trial. This means approximately </w:t>
      </w:r>
      <w:r w:rsidRPr="00A110CB">
        <w:rPr>
          <w:rFonts w:ascii="Times New Roman" w:eastAsia="Times New Roman" w:hAnsi="Times New Roman" w:cs="Times New Roman"/>
          <w:b/>
          <w:bCs/>
          <w:sz w:val="28"/>
          <w:szCs w:val="28"/>
        </w:rPr>
        <w:t>7,000 additional individuals</w:t>
      </w:r>
      <w:r w:rsidRPr="00A110CB">
        <w:rPr>
          <w:rFonts w:ascii="Times New Roman" w:eastAsia="Times New Roman" w:hAnsi="Times New Roman" w:cs="Times New Roman"/>
          <w:sz w:val="28"/>
          <w:szCs w:val="28"/>
        </w:rPr>
        <w:t>—33% of the purported "victims"—were actually net gainers in the same role as Ms. Hosseinipour.</w:t>
      </w:r>
    </w:p>
    <w:p w14:paraId="1BE28E88" w14:textId="77777777" w:rsidR="00A110CB" w:rsidRPr="00A110CB" w:rsidRDefault="00A110CB" w:rsidP="00A110CB">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Key "victims" were actually profitable</w:t>
      </w:r>
      <w:r w:rsidRPr="00A110CB">
        <w:rPr>
          <w:rFonts w:ascii="Times New Roman" w:eastAsia="Times New Roman" w:hAnsi="Times New Roman" w:cs="Times New Roman"/>
          <w:sz w:val="28"/>
          <w:szCs w:val="28"/>
        </w:rPr>
        <w:t xml:space="preserve">: </w:t>
      </w:r>
      <w:proofErr w:type="spellStart"/>
      <w:r w:rsidRPr="00A110CB">
        <w:rPr>
          <w:rFonts w:ascii="Times New Roman" w:eastAsia="Times New Roman" w:hAnsi="Times New Roman" w:cs="Times New Roman"/>
          <w:sz w:val="28"/>
          <w:szCs w:val="28"/>
        </w:rPr>
        <w:t>Queyenne</w:t>
      </w:r>
      <w:proofErr w:type="spellEnd"/>
      <w:r w:rsidRPr="00A110CB">
        <w:rPr>
          <w:rFonts w:ascii="Times New Roman" w:eastAsia="Times New Roman" w:hAnsi="Times New Roman" w:cs="Times New Roman"/>
          <w:sz w:val="28"/>
          <w:szCs w:val="28"/>
        </w:rPr>
        <w:t xml:space="preserve"> Pepito, highlighted in jury instructions as having lost over $100,000, actually profited $7,700. Michelle Kim and Shin </w:t>
      </w:r>
      <w:proofErr w:type="spellStart"/>
      <w:r w:rsidRPr="00A110CB">
        <w:rPr>
          <w:rFonts w:ascii="Times New Roman" w:eastAsia="Times New Roman" w:hAnsi="Times New Roman" w:cs="Times New Roman"/>
          <w:sz w:val="28"/>
          <w:szCs w:val="28"/>
        </w:rPr>
        <w:t>Jeong</w:t>
      </w:r>
      <w:proofErr w:type="spellEnd"/>
      <w:r w:rsidRPr="00A110CB">
        <w:rPr>
          <w:rFonts w:ascii="Times New Roman" w:eastAsia="Times New Roman" w:hAnsi="Times New Roman" w:cs="Times New Roman"/>
          <w:sz w:val="28"/>
          <w:szCs w:val="28"/>
        </w:rPr>
        <w:t>, portrayed as victims who lost hundreds of thousands, were net gainers who earned hundreds of thousands in commissions.</w:t>
      </w:r>
    </w:p>
    <w:p w14:paraId="5D82ACC1" w14:textId="77777777" w:rsidR="00A110CB" w:rsidRPr="00A110CB" w:rsidRDefault="00A110CB" w:rsidP="00A110CB">
      <w:pPr>
        <w:numPr>
          <w:ilvl w:val="0"/>
          <w:numId w:val="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 xml:space="preserve">95% of Ms. </w:t>
      </w:r>
      <w:proofErr w:type="spellStart"/>
      <w:r w:rsidRPr="00A110CB">
        <w:rPr>
          <w:rFonts w:ascii="Times New Roman" w:eastAsia="Times New Roman" w:hAnsi="Times New Roman" w:cs="Times New Roman"/>
          <w:b/>
          <w:bCs/>
          <w:sz w:val="28"/>
          <w:szCs w:val="28"/>
        </w:rPr>
        <w:t>Hosseinipour's</w:t>
      </w:r>
      <w:proofErr w:type="spellEnd"/>
      <w:r w:rsidRPr="00A110CB">
        <w:rPr>
          <w:rFonts w:ascii="Times New Roman" w:eastAsia="Times New Roman" w:hAnsi="Times New Roman" w:cs="Times New Roman"/>
          <w:b/>
          <w:bCs/>
          <w:sz w:val="28"/>
          <w:szCs w:val="28"/>
        </w:rPr>
        <w:t xml:space="preserve"> personally sponsored team members were profitable</w:t>
      </w:r>
      <w:r w:rsidRPr="00A110CB">
        <w:rPr>
          <w:rFonts w:ascii="Times New Roman" w:eastAsia="Times New Roman" w:hAnsi="Times New Roman" w:cs="Times New Roman"/>
          <w:sz w:val="28"/>
          <w:szCs w:val="28"/>
        </w:rPr>
        <w:t>—directly contradicting the government's theory that she profited at others' expense.</w:t>
      </w:r>
    </w:p>
    <w:p w14:paraId="792A4E8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government possessed the live, </w:t>
      </w:r>
      <w:proofErr w:type="spellStart"/>
      <w:r w:rsidRPr="00A110CB">
        <w:rPr>
          <w:rFonts w:ascii="Times New Roman" w:eastAsia="Times New Roman" w:hAnsi="Times New Roman" w:cs="Times New Roman"/>
          <w:sz w:val="28"/>
          <w:szCs w:val="28"/>
        </w:rPr>
        <w:t>queryable</w:t>
      </w:r>
      <w:proofErr w:type="spellEnd"/>
      <w:r w:rsidRPr="00A110CB">
        <w:rPr>
          <w:rFonts w:ascii="Times New Roman" w:eastAsia="Times New Roman" w:hAnsi="Times New Roman" w:cs="Times New Roman"/>
          <w:sz w:val="28"/>
          <w:szCs w:val="28"/>
        </w:rPr>
        <w:t xml:space="preserve"> I2G database that would have instantly revealed these facts. The prosecution team directed Reynolds to "filter out" specific commission categories through subpoena instructions, systematically excluding the $28 million that would have disproven their loss narrative. This evidence was never disclosed to Ms. Hosseinipour.</w:t>
      </w:r>
    </w:p>
    <w:p w14:paraId="6713E995"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Under </w:t>
      </w:r>
      <w:r w:rsidRPr="00A110CB">
        <w:rPr>
          <w:rFonts w:ascii="Times New Roman" w:eastAsia="Times New Roman" w:hAnsi="Times New Roman" w:cs="Times New Roman"/>
          <w:i/>
          <w:iCs/>
          <w:sz w:val="28"/>
          <w:szCs w:val="28"/>
        </w:rPr>
        <w:t>Brady v. Maryland</w:t>
      </w:r>
      <w:r w:rsidRPr="00A110CB">
        <w:rPr>
          <w:rFonts w:ascii="Times New Roman" w:eastAsia="Times New Roman" w:hAnsi="Times New Roman" w:cs="Times New Roman"/>
          <w:sz w:val="28"/>
          <w:szCs w:val="28"/>
        </w:rPr>
        <w:t xml:space="preserve">, 373 U.S. 83 (1963), </w:t>
      </w:r>
      <w:r w:rsidRPr="00A110CB">
        <w:rPr>
          <w:rFonts w:ascii="Times New Roman" w:eastAsia="Times New Roman" w:hAnsi="Times New Roman" w:cs="Times New Roman"/>
          <w:i/>
          <w:iCs/>
          <w:sz w:val="28"/>
          <w:szCs w:val="28"/>
        </w:rPr>
        <w:t>Kyles v. Whitley</w:t>
      </w:r>
      <w:r w:rsidRPr="00A110CB">
        <w:rPr>
          <w:rFonts w:ascii="Times New Roman" w:eastAsia="Times New Roman" w:hAnsi="Times New Roman" w:cs="Times New Roman"/>
          <w:sz w:val="28"/>
          <w:szCs w:val="28"/>
        </w:rPr>
        <w:t xml:space="preserve">, 514 U.S. 419 (1995), and </w:t>
      </w:r>
      <w:proofErr w:type="spellStart"/>
      <w:r w:rsidRPr="00A110CB">
        <w:rPr>
          <w:rFonts w:ascii="Times New Roman" w:eastAsia="Times New Roman" w:hAnsi="Times New Roman" w:cs="Times New Roman"/>
          <w:i/>
          <w:iCs/>
          <w:sz w:val="28"/>
          <w:szCs w:val="28"/>
        </w:rPr>
        <w:t>Napue</w:t>
      </w:r>
      <w:proofErr w:type="spellEnd"/>
      <w:r w:rsidRPr="00A110CB">
        <w:rPr>
          <w:rFonts w:ascii="Times New Roman" w:eastAsia="Times New Roman" w:hAnsi="Times New Roman" w:cs="Times New Roman"/>
          <w:i/>
          <w:iCs/>
          <w:sz w:val="28"/>
          <w:szCs w:val="28"/>
        </w:rPr>
        <w:t xml:space="preserve"> v. Illinois</w:t>
      </w:r>
      <w:r w:rsidRPr="00A110CB">
        <w:rPr>
          <w:rFonts w:ascii="Times New Roman" w:eastAsia="Times New Roman" w:hAnsi="Times New Roman" w:cs="Times New Roman"/>
          <w:sz w:val="28"/>
          <w:szCs w:val="28"/>
        </w:rPr>
        <w:t xml:space="preserve">, 360 U.S. 264 (1959), the suppression of this evidence violates due process. The live database and filtering directives were within the prosecution team's possession and control under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xml:space="preserve">. Their nondisclosure deprived Ms. Hosseinipour of exculpatory evidence central to the </w:t>
      </w:r>
      <w:r w:rsidRPr="00A110CB">
        <w:rPr>
          <w:rFonts w:ascii="Times New Roman" w:eastAsia="Times New Roman" w:hAnsi="Times New Roman" w:cs="Times New Roman"/>
          <w:sz w:val="28"/>
          <w:szCs w:val="28"/>
        </w:rPr>
        <w:lastRenderedPageBreak/>
        <w:t>government's case, creating far more than a reasonable probability of a different outcome.</w:t>
      </w:r>
    </w:p>
    <w:p w14:paraId="01F4F73D"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Sixth Circuit has already recognized substantial concerns in this case, vacating the denial of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Rule 33 motion and remanding for reconsideration. The newly discovered evidence provides an independent basis for a new trial and demonstrates that Ms. Hosseinipour was convicted on materially false testimony.</w:t>
      </w:r>
    </w:p>
    <w:p w14:paraId="2DBD872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Ms. Hosseinipour respectfully requests that this Court grant her motion for a new trial based on newly discovered evidence and </w:t>
      </w: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violations, or at minimum, convene an evidentiary hearing to examine the prosecution team's suppression of the live database, the filtering directives, and the presentation of false data to the jury.</w:t>
      </w:r>
    </w:p>
    <w:p w14:paraId="5AF77CAD"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6DF89DA5">
          <v:rect id="_x0000_i1028" style="width:0;height:1.5pt" o:hralign="center" o:hrstd="t" o:hr="t" fillcolor="#a0a0a0" stroked="f"/>
        </w:pict>
      </w:r>
    </w:p>
    <w:p w14:paraId="6376D395"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II. STATEMENT OF JURISDICTION</w:t>
      </w:r>
    </w:p>
    <w:p w14:paraId="609FFA0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This Court has subject-matter jurisdiction under 18 U.S.C. § 3231. The Sixth Circuit vacated this Court's prior denial of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Rule 33 motion and remanded for reconsideration, restoring this Court's jurisdiction to decide the motion anew and to conduct any necessary proceedings.</w:t>
      </w:r>
    </w:p>
    <w:p w14:paraId="7448DFBF"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Federal Rule of Criminal Procedure 33 authorizes the Court to "grant a new trial if the interest of justice so requires," including on grounds of newly discovered evidence. Fed. R. Crim. P. 33(b)(1). This Court retains authority to consider constitutional claims arising from </w:t>
      </w: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i/>
          <w:iCs/>
          <w:sz w:val="28"/>
          <w:szCs w:val="28"/>
        </w:rPr>
        <w:t>Giglio</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xml:space="preserve">, and </w:t>
      </w:r>
      <w:proofErr w:type="spellStart"/>
      <w:r w:rsidRPr="00A110CB">
        <w:rPr>
          <w:rFonts w:ascii="Times New Roman" w:eastAsia="Times New Roman" w:hAnsi="Times New Roman" w:cs="Times New Roman"/>
          <w:i/>
          <w:iCs/>
          <w:sz w:val="28"/>
          <w:szCs w:val="28"/>
        </w:rPr>
        <w:t>Napue</w:t>
      </w:r>
      <w:proofErr w:type="spellEnd"/>
      <w:r w:rsidRPr="00A110CB">
        <w:rPr>
          <w:rFonts w:ascii="Times New Roman" w:eastAsia="Times New Roman" w:hAnsi="Times New Roman" w:cs="Times New Roman"/>
          <w:sz w:val="28"/>
          <w:szCs w:val="28"/>
        </w:rPr>
        <w:t xml:space="preserve"> in connection with the Rule 33 motion. </w:t>
      </w:r>
      <w:r w:rsidRPr="00A110CB">
        <w:rPr>
          <w:rFonts w:ascii="Times New Roman" w:eastAsia="Times New Roman" w:hAnsi="Times New Roman" w:cs="Times New Roman"/>
          <w:i/>
          <w:iCs/>
          <w:sz w:val="28"/>
          <w:szCs w:val="28"/>
        </w:rPr>
        <w:t>See United States v. O'Dell</w:t>
      </w:r>
      <w:r w:rsidRPr="00A110CB">
        <w:rPr>
          <w:rFonts w:ascii="Times New Roman" w:eastAsia="Times New Roman" w:hAnsi="Times New Roman" w:cs="Times New Roman"/>
          <w:sz w:val="28"/>
          <w:szCs w:val="28"/>
        </w:rPr>
        <w:t>, 805 F.2d 637, 640–41 (6th Cir. 1986).</w:t>
      </w:r>
    </w:p>
    <w:p w14:paraId="2ABC9B79"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75C4AF82">
          <v:rect id="_x0000_i1029" style="width:0;height:1.5pt" o:hralign="center" o:hrstd="t" o:hr="t" fillcolor="#a0a0a0" stroked="f"/>
        </w:pict>
      </w:r>
    </w:p>
    <w:p w14:paraId="20A538D1"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III. STATEMENT OF ISSUES</w:t>
      </w:r>
    </w:p>
    <w:p w14:paraId="7D8164D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1. Whether newly discovered evidence establishing that 37% of I2G distributors were profitable (not 4%) and that total commissions exceeded $38 million (not $9.5 million) warrants a new trial under Rule 33.</w:t>
      </w:r>
    </w:p>
    <w:p w14:paraId="68059D4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 xml:space="preserve">2. Whether the prosecution's suppression of the live, </w:t>
      </w:r>
      <w:proofErr w:type="spellStart"/>
      <w:r w:rsidRPr="00A110CB">
        <w:rPr>
          <w:rFonts w:ascii="Times New Roman" w:eastAsia="Times New Roman" w:hAnsi="Times New Roman" w:cs="Times New Roman"/>
          <w:b/>
          <w:bCs/>
          <w:sz w:val="28"/>
          <w:szCs w:val="28"/>
        </w:rPr>
        <w:t>queryable</w:t>
      </w:r>
      <w:proofErr w:type="spellEnd"/>
      <w:r w:rsidRPr="00A110CB">
        <w:rPr>
          <w:rFonts w:ascii="Times New Roman" w:eastAsia="Times New Roman" w:hAnsi="Times New Roman" w:cs="Times New Roman"/>
          <w:b/>
          <w:bCs/>
          <w:sz w:val="28"/>
          <w:szCs w:val="28"/>
        </w:rPr>
        <w:t xml:space="preserve"> I2G database—which provided instant access to accurate profitability calculations </w:t>
      </w:r>
      <w:r w:rsidRPr="00A110CB">
        <w:rPr>
          <w:rFonts w:ascii="Times New Roman" w:eastAsia="Times New Roman" w:hAnsi="Times New Roman" w:cs="Times New Roman"/>
          <w:b/>
          <w:bCs/>
          <w:sz w:val="28"/>
          <w:szCs w:val="28"/>
        </w:rPr>
        <w:lastRenderedPageBreak/>
        <w:t>and total commission data—violated</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b/>
          <w:bCs/>
          <w:i/>
          <w:iCs/>
          <w:sz w:val="28"/>
          <w:szCs w:val="28"/>
        </w:rPr>
        <w:t>Brady</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b/>
          <w:bCs/>
          <w:sz w:val="28"/>
          <w:szCs w:val="28"/>
        </w:rPr>
        <w:t>when the government presented filtered data showing false profitability and commission figures through four key witnesses.</w:t>
      </w:r>
    </w:p>
    <w:p w14:paraId="3A6FE0FF"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3. Whether the prosecution's suppression of subpoena and filtering directives—which excluded over $28 million in tracked commissions from the trial exhibits—violated</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b/>
          <w:bCs/>
          <w:i/>
          <w:iCs/>
          <w:sz w:val="28"/>
          <w:szCs w:val="28"/>
        </w:rPr>
        <w:t>Brady</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b/>
          <w:bCs/>
          <w:sz w:val="28"/>
          <w:szCs w:val="28"/>
        </w:rPr>
        <w:t>when those directives would have exposed the systematic manipulation of the government's core evidence.</w:t>
      </w:r>
    </w:p>
    <w:p w14:paraId="71176A8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4. Whether the presentation of testimony that Exhibits 101i, 101f, 101g, 101b, and Summary Chart 232 reflected "all I2G participants," "all commissions," and "all purchases" within the charged period—when in fact they excluded 73% of total commissions and included two years of post-indictment, non-I2G data—violated</w:t>
      </w:r>
      <w:r w:rsidRPr="00A110CB">
        <w:rPr>
          <w:rFonts w:ascii="Times New Roman" w:eastAsia="Times New Roman" w:hAnsi="Times New Roman" w:cs="Times New Roman"/>
          <w:sz w:val="28"/>
          <w:szCs w:val="28"/>
        </w:rPr>
        <w:t xml:space="preserve"> </w:t>
      </w:r>
      <w:proofErr w:type="spellStart"/>
      <w:r w:rsidRPr="00A110CB">
        <w:rPr>
          <w:rFonts w:ascii="Times New Roman" w:eastAsia="Times New Roman" w:hAnsi="Times New Roman" w:cs="Times New Roman"/>
          <w:b/>
          <w:bCs/>
          <w:i/>
          <w:iCs/>
          <w:sz w:val="28"/>
          <w:szCs w:val="28"/>
        </w:rPr>
        <w:t>Napue</w:t>
      </w:r>
      <w:proofErr w:type="spellEnd"/>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b/>
          <w:bCs/>
          <w:sz w:val="28"/>
          <w:szCs w:val="28"/>
        </w:rPr>
        <w:t>and undermines confidence in the verdict.</w:t>
      </w:r>
    </w:p>
    <w:p w14:paraId="2A5FB436"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158E1613">
          <v:rect id="_x0000_i1030" style="width:0;height:1.5pt" o:hralign="center" o:hrstd="t" o:hr="t" fillcolor="#a0a0a0" stroked="f"/>
        </w:pict>
      </w:r>
    </w:p>
    <w:p w14:paraId="34914160"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IV. STATEMENT OF FACTS</w:t>
      </w:r>
    </w:p>
    <w:p w14:paraId="4385DDD6"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A. Trial Narrative: 96% Lost Money, $9.5 Million in Total Commissions</w:t>
      </w:r>
    </w:p>
    <w:p w14:paraId="019C2C0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At trial, the government's case rested on a quantitative narrative delivered through data summaries and expert testimony:</w:t>
      </w:r>
    </w:p>
    <w:p w14:paraId="5F52588B" w14:textId="77777777" w:rsidR="00A110CB" w:rsidRPr="00A110CB" w:rsidRDefault="00A110CB" w:rsidP="00A110CB">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Jerry Reynolds testified that Exhibits 101i and 101f reflected "all participant gains and losses" and "all checks" paid during I2G's operation.</w:t>
      </w:r>
    </w:p>
    <w:p w14:paraId="751BAF53" w14:textId="77777777" w:rsidR="00A110CB" w:rsidRPr="00A110CB" w:rsidRDefault="00A110CB" w:rsidP="00A110CB">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FBI Agents McClelland and Sauber testified regarding commission totals and participant losses based on these exhibits.</w:t>
      </w:r>
    </w:p>
    <w:p w14:paraId="4221FEDC" w14:textId="77777777" w:rsidR="00A110CB" w:rsidRPr="00A110CB" w:rsidRDefault="00A110CB" w:rsidP="00A110CB">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Dr. Keep, the government's pyramid scheme expert, testified that 96% to 97.3% of I2G participants lost money, basing his conclusions on the data in Exhibits 101i, 101f, and Summary Chart 232.</w:t>
      </w:r>
    </w:p>
    <w:p w14:paraId="2D3B1391" w14:textId="77777777" w:rsidR="00A110CB" w:rsidRPr="00A110CB" w:rsidRDefault="00A110CB" w:rsidP="00A110CB">
      <w:pPr>
        <w:numPr>
          <w:ilvl w:val="0"/>
          <w:numId w:val="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government represented total commissions paid as approximately $9.5 million through these exhibits.</w:t>
      </w:r>
    </w:p>
    <w:p w14:paraId="4E6A6CC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These representations were central to proving that I2G was a fraudulent pyramid scheme in which virtually all participants lost money while a few at the top profited.</w:t>
      </w:r>
    </w:p>
    <w:p w14:paraId="63DB021A"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B. The Remand and Ineffective Assistance Background</w:t>
      </w:r>
    </w:p>
    <w:p w14:paraId="63EC7F0D"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 xml:space="preserve">On June 26, 2025, the Sixth Circuit vacated this Court's denial of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Rule 33 motion and remanded for reconsideration. The panel recognized "substantial evidence of ineffective assistance" and ordered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release pending appeal.</w:t>
      </w:r>
    </w:p>
    <w:p w14:paraId="02D30D3D"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At oral argument, Judge Kethledge characterized the affidavits supporting the ineffective assistance claim as presenting "significant evidence" and stated: "If you read the transcript, it shouldn't be a surprise to anybody that there is a serious ineffective [assistance] issue there."</w:t>
      </w:r>
    </w:p>
    <w:p w14:paraId="75AF85C5"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Among the deficiencies identified: trial counsel demonstrated a fundamental lack of understanding that company data could be used against his client, referring to such data as "unrelated to his client." This failure intersects with the newly discovered evidence because competent counsel with access to the live database would have exposed the government's data manipulations.</w:t>
      </w:r>
    </w:p>
    <w:p w14:paraId="69ABC1A4"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C. April 2023: Reynolds' First Affidavit and "All Commissions" Data</w:t>
      </w:r>
    </w:p>
    <w:p w14:paraId="7D3090B5"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On April 6, 2023, Jerry Reynolds—the government's key data witness and custodian of the I2G database—contacted defense counsel with alarming information: significant categories of commissions had been "filtered out" of Exhibit 101i and, consequently, all related exhibits and calculations.</w:t>
      </w:r>
    </w:p>
    <w:p w14:paraId="4B2C71A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Reynolds provided his first affidavit and new "All Commissions" data showing that over </w:t>
      </w:r>
      <w:r w:rsidRPr="00A110CB">
        <w:rPr>
          <w:rFonts w:ascii="Times New Roman" w:eastAsia="Times New Roman" w:hAnsi="Times New Roman" w:cs="Times New Roman"/>
          <w:b/>
          <w:bCs/>
          <w:sz w:val="28"/>
          <w:szCs w:val="28"/>
        </w:rPr>
        <w:t>$28 million in paid commissions</w:t>
      </w:r>
      <w:r w:rsidRPr="00A110CB">
        <w:rPr>
          <w:rFonts w:ascii="Times New Roman" w:eastAsia="Times New Roman" w:hAnsi="Times New Roman" w:cs="Times New Roman"/>
          <w:sz w:val="28"/>
          <w:szCs w:val="28"/>
        </w:rPr>
        <w:t xml:space="preserve">—tracked by his system—had been systematically excluded from the trial exhibits. This represented </w:t>
      </w:r>
      <w:r w:rsidRPr="00A110CB">
        <w:rPr>
          <w:rFonts w:ascii="Times New Roman" w:eastAsia="Times New Roman" w:hAnsi="Times New Roman" w:cs="Times New Roman"/>
          <w:b/>
          <w:bCs/>
          <w:sz w:val="28"/>
          <w:szCs w:val="28"/>
        </w:rPr>
        <w:t>73% of total I2G commissions</w:t>
      </w:r>
      <w:r w:rsidRPr="00A110CB">
        <w:rPr>
          <w:rFonts w:ascii="Times New Roman" w:eastAsia="Times New Roman" w:hAnsi="Times New Roman" w:cs="Times New Roman"/>
          <w:sz w:val="28"/>
          <w:szCs w:val="28"/>
        </w:rPr>
        <w:t>, which actually exceeded $38 million.</w:t>
      </w:r>
    </w:p>
    <w:p w14:paraId="0311F8D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Reynolds explained that the government had directed him through subpoena instructions to filter out specific commission categories. The comprehensive "All Commissions" data—which includes complete purchase and commission histories—was accessible through the live database that was never shared with Ms. Hosseinipour.</w:t>
      </w:r>
    </w:p>
    <w:p w14:paraId="63849876"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D. August 2025: Reynolds' Second Affidavit—37% Profitability</w:t>
      </w:r>
    </w:p>
    <w:p w14:paraId="70D9DBD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On August 25, 2025, Reynolds provided a second affidavit after reviewing the Sixth Circuit's published opinion affirming the convictions based on representations that his database showed 96% of I2G distributors lost money.</w:t>
      </w:r>
    </w:p>
    <w:p w14:paraId="70D3599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Reynolds examined the live I2G database and provided screenshots establishing:</w:t>
      </w:r>
    </w:p>
    <w:p w14:paraId="7721B0C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lastRenderedPageBreak/>
        <w:t>1. 37% of I2G participants were profitable.</w:t>
      </w:r>
      <w:r w:rsidRPr="00A110CB">
        <w:rPr>
          <w:rFonts w:ascii="Times New Roman" w:eastAsia="Times New Roman" w:hAnsi="Times New Roman" w:cs="Times New Roman"/>
          <w:sz w:val="28"/>
          <w:szCs w:val="28"/>
        </w:rPr>
        <w:t xml:space="preserve"> This is </w:t>
      </w:r>
      <w:r w:rsidRPr="00A110CB">
        <w:rPr>
          <w:rFonts w:ascii="Times New Roman" w:eastAsia="Times New Roman" w:hAnsi="Times New Roman" w:cs="Times New Roman"/>
          <w:b/>
          <w:bCs/>
          <w:sz w:val="28"/>
          <w:szCs w:val="28"/>
        </w:rPr>
        <w:t>33% more than the 4% represented at trial</w:t>
      </w:r>
      <w:r w:rsidRPr="00A110CB">
        <w:rPr>
          <w:rFonts w:ascii="Times New Roman" w:eastAsia="Times New Roman" w:hAnsi="Times New Roman" w:cs="Times New Roman"/>
          <w:sz w:val="28"/>
          <w:szCs w:val="28"/>
        </w:rPr>
        <w:t>—a ninefold discrepancy. Approximately 7,000 additional distributors classified as "victims" were actually net gainers.</w:t>
      </w:r>
    </w:p>
    <w:p w14:paraId="6287ACEA"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 xml:space="preserve">2. Alleged "victim" </w:t>
      </w:r>
      <w:proofErr w:type="spellStart"/>
      <w:r w:rsidRPr="00A110CB">
        <w:rPr>
          <w:rFonts w:ascii="Times New Roman" w:eastAsia="Times New Roman" w:hAnsi="Times New Roman" w:cs="Times New Roman"/>
          <w:b/>
          <w:bCs/>
          <w:sz w:val="28"/>
          <w:szCs w:val="28"/>
        </w:rPr>
        <w:t>Queyenne</w:t>
      </w:r>
      <w:proofErr w:type="spellEnd"/>
      <w:r w:rsidRPr="00A110CB">
        <w:rPr>
          <w:rFonts w:ascii="Times New Roman" w:eastAsia="Times New Roman" w:hAnsi="Times New Roman" w:cs="Times New Roman"/>
          <w:b/>
          <w:bCs/>
          <w:sz w:val="28"/>
          <w:szCs w:val="28"/>
        </w:rPr>
        <w:t xml:space="preserve"> Pepito was profitable.</w:t>
      </w:r>
      <w:r w:rsidRPr="00A110CB">
        <w:rPr>
          <w:rFonts w:ascii="Times New Roman" w:eastAsia="Times New Roman" w:hAnsi="Times New Roman" w:cs="Times New Roman"/>
          <w:sz w:val="28"/>
          <w:szCs w:val="28"/>
        </w:rPr>
        <w:t xml:space="preserve"> Trial testimony, closing arguments, and jury instructions represented that Pepito lost over $100,000. In fact, Pepito paid in $207,203 and received $214,936 in commissions—a net profit of $7,733.</w:t>
      </w:r>
    </w:p>
    <w:p w14:paraId="0A017922"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3. Other highlighted "victims" were profitable.</w:t>
      </w:r>
      <w:r w:rsidRPr="00A110CB">
        <w:rPr>
          <w:rFonts w:ascii="Times New Roman" w:eastAsia="Times New Roman" w:hAnsi="Times New Roman" w:cs="Times New Roman"/>
          <w:sz w:val="28"/>
          <w:szCs w:val="28"/>
        </w:rPr>
        <w:t xml:space="preserve"> Analysis of the "All Commissions" data revealed that Michelle Kim and Shin </w:t>
      </w:r>
      <w:proofErr w:type="spellStart"/>
      <w:r w:rsidRPr="00A110CB">
        <w:rPr>
          <w:rFonts w:ascii="Times New Roman" w:eastAsia="Times New Roman" w:hAnsi="Times New Roman" w:cs="Times New Roman"/>
          <w:sz w:val="28"/>
          <w:szCs w:val="28"/>
        </w:rPr>
        <w:t>Jeong</w:t>
      </w:r>
      <w:proofErr w:type="spellEnd"/>
      <w:r w:rsidRPr="00A110CB">
        <w:rPr>
          <w:rFonts w:ascii="Times New Roman" w:eastAsia="Times New Roman" w:hAnsi="Times New Roman" w:cs="Times New Roman"/>
          <w:sz w:val="28"/>
          <w:szCs w:val="28"/>
        </w:rPr>
        <w:t>—portrayed by Agent McClelland as having lost hundreds of thousands of dollars—were actually net gainers who earned hundreds of thousands in commissions.</w:t>
      </w:r>
    </w:p>
    <w:p w14:paraId="7590C4F2"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 xml:space="preserve">4. 95% of Ms. </w:t>
      </w:r>
      <w:proofErr w:type="spellStart"/>
      <w:r w:rsidRPr="00A110CB">
        <w:rPr>
          <w:rFonts w:ascii="Times New Roman" w:eastAsia="Times New Roman" w:hAnsi="Times New Roman" w:cs="Times New Roman"/>
          <w:b/>
          <w:bCs/>
          <w:sz w:val="28"/>
          <w:szCs w:val="28"/>
        </w:rPr>
        <w:t>Hosseinipour's</w:t>
      </w:r>
      <w:proofErr w:type="spellEnd"/>
      <w:r w:rsidRPr="00A110CB">
        <w:rPr>
          <w:rFonts w:ascii="Times New Roman" w:eastAsia="Times New Roman" w:hAnsi="Times New Roman" w:cs="Times New Roman"/>
          <w:b/>
          <w:bCs/>
          <w:sz w:val="28"/>
          <w:szCs w:val="28"/>
        </w:rPr>
        <w:t xml:space="preserve"> personally sponsored team members were profitable.</w:t>
      </w:r>
      <w:r w:rsidRPr="00A110CB">
        <w:rPr>
          <w:rFonts w:ascii="Times New Roman" w:eastAsia="Times New Roman" w:hAnsi="Times New Roman" w:cs="Times New Roman"/>
          <w:sz w:val="28"/>
          <w:szCs w:val="28"/>
        </w:rPr>
        <w:t xml:space="preserve"> This directly contradicts the government's narrative that Ms. Hosseinipour profited at others' expense. Her earnings reflected others' success, not their losses.</w:t>
      </w:r>
    </w:p>
    <w:p w14:paraId="4DE06F93"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E. The Live Database Was Suppressed</w:t>
      </w:r>
    </w:p>
    <w:p w14:paraId="3625376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government possessed and controlled the live, </w:t>
      </w:r>
      <w:proofErr w:type="spellStart"/>
      <w:r w:rsidRPr="00A110CB">
        <w:rPr>
          <w:rFonts w:ascii="Times New Roman" w:eastAsia="Times New Roman" w:hAnsi="Times New Roman" w:cs="Times New Roman"/>
          <w:sz w:val="28"/>
          <w:szCs w:val="28"/>
        </w:rPr>
        <w:t>queryable</w:t>
      </w:r>
      <w:proofErr w:type="spellEnd"/>
      <w:r w:rsidRPr="00A110CB">
        <w:rPr>
          <w:rFonts w:ascii="Times New Roman" w:eastAsia="Times New Roman" w:hAnsi="Times New Roman" w:cs="Times New Roman"/>
          <w:sz w:val="28"/>
          <w:szCs w:val="28"/>
        </w:rPr>
        <w:t xml:space="preserve"> I2G database maintained by Reynolds through Backoffice Enterprise Solutions. This database allowed instant queries to determine:</w:t>
      </w:r>
    </w:p>
    <w:p w14:paraId="4CCABAC3" w14:textId="77777777" w:rsidR="00A110CB" w:rsidRPr="00A110CB" w:rsidRDefault="00A110CB" w:rsidP="00A110CB">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Total commissions paid to all distributors</w:t>
      </w:r>
    </w:p>
    <w:p w14:paraId="186BB6F7" w14:textId="77777777" w:rsidR="00A110CB" w:rsidRPr="00A110CB" w:rsidRDefault="00A110CB" w:rsidP="00A110CB">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Individual distributor profitability (net gain or loss)</w:t>
      </w:r>
    </w:p>
    <w:p w14:paraId="7756D953" w14:textId="77777777" w:rsidR="00A110CB" w:rsidRPr="00A110CB" w:rsidRDefault="00A110CB" w:rsidP="00A110CB">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Aggregate profitability rates across all participants</w:t>
      </w:r>
    </w:p>
    <w:p w14:paraId="59DC3CD0" w14:textId="77777777" w:rsidR="00A110CB" w:rsidRPr="00A110CB" w:rsidRDefault="00A110CB" w:rsidP="00A110CB">
      <w:pPr>
        <w:numPr>
          <w:ilvl w:val="0"/>
          <w:numId w:val="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Commission breakdowns by category</w:t>
      </w:r>
    </w:p>
    <w:p w14:paraId="7115D48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database would have immediately revealed that the government's 96% loss narrative was false. Simple queries—which Reynolds ran in minutes in August 2025—would have shown 37% profitability and $38 million in total commissions.</w:t>
      </w:r>
    </w:p>
    <w:p w14:paraId="6D87E8A8"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Ms. Hosseinipour never received access to this live database. Instead, she received heavily filtered, static spreadsheets delivered days before trial, lacking proper identification, with unreadable or missing date fields, and no ability to verify the underlying data.</w:t>
      </w:r>
    </w:p>
    <w:p w14:paraId="11F56128"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Co-defendant </w:t>
      </w:r>
      <w:proofErr w:type="spellStart"/>
      <w:r w:rsidRPr="00A110CB">
        <w:rPr>
          <w:rFonts w:ascii="Times New Roman" w:eastAsia="Times New Roman" w:hAnsi="Times New Roman" w:cs="Times New Roman"/>
          <w:sz w:val="28"/>
          <w:szCs w:val="28"/>
        </w:rPr>
        <w:t>Maike's</w:t>
      </w:r>
      <w:proofErr w:type="spellEnd"/>
      <w:r w:rsidRPr="00A110CB">
        <w:rPr>
          <w:rFonts w:ascii="Times New Roman" w:eastAsia="Times New Roman" w:hAnsi="Times New Roman" w:cs="Times New Roman"/>
          <w:sz w:val="28"/>
          <w:szCs w:val="28"/>
        </w:rPr>
        <w:t xml:space="preserve"> counsel demonstrated due diligence by requesting access to the live database both before and during trial. Despite a court order directing </w:t>
      </w:r>
      <w:r w:rsidRPr="00A110CB">
        <w:rPr>
          <w:rFonts w:ascii="Times New Roman" w:eastAsia="Times New Roman" w:hAnsi="Times New Roman" w:cs="Times New Roman"/>
          <w:sz w:val="28"/>
          <w:szCs w:val="28"/>
        </w:rPr>
        <w:lastRenderedPageBreak/>
        <w:t>Reynolds to comply with the subpoena, defendants received only a "read-only" version that prevented querying the data to verify accuracy or run alternative calculations.</w:t>
      </w:r>
    </w:p>
    <w:p w14:paraId="0D9CF335"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F. The Filtering Directives Were Suppressed</w:t>
      </w:r>
    </w:p>
    <w:p w14:paraId="592AEA28"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government directed Reynolds through subpoena instructions to exclude specific commission categories from the trial exhibits. These filtering directives resulted in:</w:t>
      </w:r>
    </w:p>
    <w:p w14:paraId="5E65D952" w14:textId="77777777" w:rsidR="00A110CB" w:rsidRPr="00A110CB" w:rsidRDefault="00A110CB" w:rsidP="00A110CB">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Over </w:t>
      </w:r>
      <w:r w:rsidRPr="00A110CB">
        <w:rPr>
          <w:rFonts w:ascii="Times New Roman" w:eastAsia="Times New Roman" w:hAnsi="Times New Roman" w:cs="Times New Roman"/>
          <w:b/>
          <w:bCs/>
          <w:sz w:val="28"/>
          <w:szCs w:val="28"/>
        </w:rPr>
        <w:t>$28 million in tracked commissions</w:t>
      </w:r>
      <w:r w:rsidRPr="00A110CB">
        <w:rPr>
          <w:rFonts w:ascii="Times New Roman" w:eastAsia="Times New Roman" w:hAnsi="Times New Roman" w:cs="Times New Roman"/>
          <w:sz w:val="28"/>
          <w:szCs w:val="28"/>
        </w:rPr>
        <w:t xml:space="preserve"> being excluded from Exhibits 101i and 101f</w:t>
      </w:r>
    </w:p>
    <w:p w14:paraId="044F0200" w14:textId="77777777" w:rsidR="00A110CB" w:rsidRPr="00A110CB" w:rsidRDefault="00A110CB" w:rsidP="00A110CB">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False representations that these exhibits showed "all commissions"</w:t>
      </w:r>
    </w:p>
    <w:p w14:paraId="660C59FE" w14:textId="77777777" w:rsidR="00A110CB" w:rsidRPr="00A110CB" w:rsidRDefault="00A110CB" w:rsidP="00A110CB">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Artificially inflated loss rates and victim counts</w:t>
      </w:r>
    </w:p>
    <w:p w14:paraId="02E5549F" w14:textId="77777777" w:rsidR="00A110CB" w:rsidRPr="00A110CB" w:rsidRDefault="00A110CB" w:rsidP="00A110CB">
      <w:pPr>
        <w:numPr>
          <w:ilvl w:val="0"/>
          <w:numId w:val="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Systematic understatement of total payouts by 73%</w:t>
      </w:r>
    </w:p>
    <w:p w14:paraId="32EC081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filtering directives themselves—documenting what the government instructed to be excluded and why—were never disclosed to Ms. Hosseinipour. These directives would have revealed the systematic manipulation of the data and provided a roadmap for challenging the government's summaries.</w:t>
      </w:r>
    </w:p>
    <w:p w14:paraId="23FF3A45"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G. Additional Data Contamination</w:t>
      </w:r>
    </w:p>
    <w:p w14:paraId="116B205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Further analysis revealed that the exhibits presented as I2G-specific data actually included records from XTG1, an unrelated Hong Kong-based company, extending beyond the indictment period (which closed December 31, 2014) through March 2017—over two years after I2G ceased operations.</w:t>
      </w:r>
    </w:p>
    <w:p w14:paraId="55C56B92"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This contamination artificially inflated participant counts, losses, and "victim" tallies while depressing profitability rates within the actual charged period.</w:t>
      </w:r>
    </w:p>
    <w:p w14:paraId="11BCAD70"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pict w14:anchorId="06F19685">
          <v:rect id="_x0000_i1031" style="width:0;height:1.5pt" o:hralign="center" o:hrstd="t" o:hr="t" fillcolor="#a0a0a0" stroked="f"/>
        </w:pict>
      </w:r>
    </w:p>
    <w:p w14:paraId="0E565CA9"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V. ARGUMENT</w:t>
      </w:r>
    </w:p>
    <w:p w14:paraId="222D7100"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A. Legal Framework: Brady, Newly Discovered Evidence, and Rule 33</w:t>
      </w:r>
    </w:p>
    <w:p w14:paraId="4454C9EB"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1. Rule 33 Standard for Newly Discovered Evidence</w:t>
      </w:r>
    </w:p>
    <w:p w14:paraId="03D309B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Federal Rule of Criminal Procedure 33(b)(1) authorizes a new trial based on newly discovered evidence if:</w:t>
      </w:r>
    </w:p>
    <w:p w14:paraId="5227DCE3" w14:textId="77777777" w:rsidR="00A110CB" w:rsidRPr="00A110CB" w:rsidRDefault="00A110CB" w:rsidP="00A110CB">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The evidence was discovered after trial</w:t>
      </w:r>
    </w:p>
    <w:p w14:paraId="5E51C788" w14:textId="77777777" w:rsidR="00A110CB" w:rsidRPr="00A110CB" w:rsidRDefault="00A110CB" w:rsidP="00A110CB">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Due diligence could not have discovered it earlier</w:t>
      </w:r>
    </w:p>
    <w:p w14:paraId="026088CC" w14:textId="77777777" w:rsidR="00A110CB" w:rsidRPr="00A110CB" w:rsidRDefault="00A110CB" w:rsidP="00A110CB">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evidence is material, not cumulative or merely impeaching</w:t>
      </w:r>
    </w:p>
    <w:p w14:paraId="4C6CAC29" w14:textId="77777777" w:rsidR="00A110CB" w:rsidRPr="00A110CB" w:rsidRDefault="00A110CB" w:rsidP="00A110CB">
      <w:pPr>
        <w:numPr>
          <w:ilvl w:val="0"/>
          <w:numId w:val="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evidence would likely produce an acquittal upon retrial</w:t>
      </w:r>
    </w:p>
    <w:p w14:paraId="001587A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When newly discovered evidence demonstrates that material trial testimony was false, "the interests of justice" presumptively favor a new trial. The evidence here satisfies each element.</w:t>
      </w:r>
    </w:p>
    <w:p w14:paraId="5500D0BA"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2. Brady and Its Progeny</w:t>
      </w:r>
    </w:p>
    <w:p w14:paraId="1B5453FA"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i/>
          <w:iCs/>
          <w:sz w:val="28"/>
          <w:szCs w:val="28"/>
        </w:rPr>
        <w:t>Brady v. Maryland</w:t>
      </w:r>
      <w:r w:rsidRPr="00A110CB">
        <w:rPr>
          <w:rFonts w:ascii="Times New Roman" w:eastAsia="Times New Roman" w:hAnsi="Times New Roman" w:cs="Times New Roman"/>
          <w:sz w:val="28"/>
          <w:szCs w:val="28"/>
        </w:rPr>
        <w:t xml:space="preserve">, 373 U.S. 83 (1963), establishes that suppression of evidence favorable to the accused violates due process when the evidence is material to guilt or punishment. Favorable evidence includes both exculpatory evidence and impeachment evidence. </w:t>
      </w:r>
      <w:r w:rsidRPr="00A110CB">
        <w:rPr>
          <w:rFonts w:ascii="Times New Roman" w:eastAsia="Times New Roman" w:hAnsi="Times New Roman" w:cs="Times New Roman"/>
          <w:i/>
          <w:iCs/>
          <w:sz w:val="28"/>
          <w:szCs w:val="28"/>
        </w:rPr>
        <w:t>Giglio v. United States</w:t>
      </w:r>
      <w:r w:rsidRPr="00A110CB">
        <w:rPr>
          <w:rFonts w:ascii="Times New Roman" w:eastAsia="Times New Roman" w:hAnsi="Times New Roman" w:cs="Times New Roman"/>
          <w:sz w:val="28"/>
          <w:szCs w:val="28"/>
        </w:rPr>
        <w:t>, 405 U.S. 150 (1972).</w:t>
      </w:r>
    </w:p>
    <w:p w14:paraId="0D266E3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i/>
          <w:iCs/>
          <w:sz w:val="28"/>
          <w:szCs w:val="28"/>
        </w:rPr>
        <w:t>United States v. Bagley</w:t>
      </w:r>
      <w:r w:rsidRPr="00A110CB">
        <w:rPr>
          <w:rFonts w:ascii="Times New Roman" w:eastAsia="Times New Roman" w:hAnsi="Times New Roman" w:cs="Times New Roman"/>
          <w:sz w:val="28"/>
          <w:szCs w:val="28"/>
        </w:rPr>
        <w:t>, 473 U.S. 667 (1985), defines materiality: evidence is material if there is a reasonable probability that its disclosure would have produced a different result. A "reasonable probability" is one sufficient to undermine confidence in the outcome.</w:t>
      </w:r>
    </w:p>
    <w:p w14:paraId="165F305D"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i/>
          <w:iCs/>
          <w:sz w:val="28"/>
          <w:szCs w:val="28"/>
        </w:rPr>
        <w:t>Kyles v. Whitley</w:t>
      </w:r>
      <w:r w:rsidRPr="00A110CB">
        <w:rPr>
          <w:rFonts w:ascii="Times New Roman" w:eastAsia="Times New Roman" w:hAnsi="Times New Roman" w:cs="Times New Roman"/>
          <w:sz w:val="28"/>
          <w:szCs w:val="28"/>
        </w:rPr>
        <w:t>, 514 U.S. 419 (1995), establishes critical principles:</w:t>
      </w:r>
    </w:p>
    <w:p w14:paraId="5CCF2757" w14:textId="77777777" w:rsidR="00A110CB" w:rsidRPr="00A110CB" w:rsidRDefault="00A110CB" w:rsidP="00A110CB">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prosecution team includes agents and contractors acting on the government's behalf</w:t>
      </w:r>
    </w:p>
    <w:p w14:paraId="1225205B" w14:textId="77777777" w:rsidR="00A110CB" w:rsidRPr="00A110CB" w:rsidRDefault="00A110CB" w:rsidP="00A110CB">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prosecutor has a duty to learn of favorable evidence known to others acting for the government</w:t>
      </w:r>
    </w:p>
    <w:p w14:paraId="3556FE2E" w14:textId="77777777" w:rsidR="00A110CB" w:rsidRPr="00A110CB" w:rsidRDefault="00A110CB" w:rsidP="00A110CB">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Materiality is assessed cumulatively, not item by item</w:t>
      </w:r>
    </w:p>
    <w:p w14:paraId="6561EA40" w14:textId="77777777" w:rsidR="00A110CB" w:rsidRPr="00A110CB" w:rsidRDefault="00A110CB" w:rsidP="00A110CB">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Good faith is irrelevant; what matters is suppression of material favorable evidence</w:t>
      </w:r>
    </w:p>
    <w:p w14:paraId="7864744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proofErr w:type="spellStart"/>
      <w:r w:rsidRPr="00A110CB">
        <w:rPr>
          <w:rFonts w:ascii="Times New Roman" w:eastAsia="Times New Roman" w:hAnsi="Times New Roman" w:cs="Times New Roman"/>
          <w:b/>
          <w:bCs/>
          <w:i/>
          <w:iCs/>
          <w:sz w:val="28"/>
          <w:szCs w:val="28"/>
        </w:rPr>
        <w:t>Napue</w:t>
      </w:r>
      <w:proofErr w:type="spellEnd"/>
      <w:r w:rsidRPr="00A110CB">
        <w:rPr>
          <w:rFonts w:ascii="Times New Roman" w:eastAsia="Times New Roman" w:hAnsi="Times New Roman" w:cs="Times New Roman"/>
          <w:b/>
          <w:bCs/>
          <w:i/>
          <w:iCs/>
          <w:sz w:val="28"/>
          <w:szCs w:val="28"/>
        </w:rPr>
        <w:t xml:space="preserve"> v. Illinois</w:t>
      </w:r>
      <w:r w:rsidRPr="00A110CB">
        <w:rPr>
          <w:rFonts w:ascii="Times New Roman" w:eastAsia="Times New Roman" w:hAnsi="Times New Roman" w:cs="Times New Roman"/>
          <w:sz w:val="28"/>
          <w:szCs w:val="28"/>
        </w:rPr>
        <w:t>, 360 U.S. 264 (1959), holds that due process is violated when the prosecution fails to correct testimony it knows or should know is false, even if the false testimony relates to collateral matters.</w:t>
      </w:r>
    </w:p>
    <w:p w14:paraId="40CE08F5"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3. Intersection of Brady and Newly Discovered Evidence</w:t>
      </w:r>
    </w:p>
    <w:p w14:paraId="3B3A8355"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newly discovered evidence here simultaneously establishes:</w:t>
      </w:r>
    </w:p>
    <w:p w14:paraId="4ECD3609" w14:textId="77777777" w:rsidR="00A110CB" w:rsidRPr="00A110CB" w:rsidRDefault="00A110CB" w:rsidP="00A110CB">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violations through suppression of the live database and filtering directives</w:t>
      </w:r>
    </w:p>
    <w:p w14:paraId="319ECF29" w14:textId="77777777" w:rsidR="00A110CB" w:rsidRPr="00A110CB" w:rsidRDefault="00A110CB" w:rsidP="00A110CB">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Independent grounds for a new trial based on materially false testimony</w:t>
      </w:r>
    </w:p>
    <w:p w14:paraId="347E3435" w14:textId="77777777" w:rsidR="00A110CB" w:rsidRPr="00A110CB" w:rsidRDefault="00A110CB" w:rsidP="00A110CB">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That confidence in the verdict is fundamentally undermined</w:t>
      </w:r>
    </w:p>
    <w:p w14:paraId="68A5A6B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evidence need not fit neatly into one doctrinal box. Under Rule 33, the Court asks whether "the interest of justice" requires a new trial. When newly discovered evidence proves both that the government suppressed exculpatory material and that the jury heard materially false testimony on the central issue of the case, the answer is clear.</w:t>
      </w:r>
    </w:p>
    <w:p w14:paraId="35F90BE0"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B. The Newly Discovered Evidence</w:t>
      </w:r>
    </w:p>
    <w:p w14:paraId="2E496AF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newly discovered evidence consists of:</w:t>
      </w:r>
    </w:p>
    <w:p w14:paraId="5199505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1. Reynolds' Two Affidavits</w:t>
      </w:r>
    </w:p>
    <w:p w14:paraId="01ACAFF8" w14:textId="77777777" w:rsidR="00A110CB" w:rsidRPr="00A110CB" w:rsidRDefault="00A110CB" w:rsidP="00A110CB">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First affidavit (April 6, 2023): Confirming that over $28 million in tracked commissions were filtered out of trial exhibits</w:t>
      </w:r>
    </w:p>
    <w:p w14:paraId="58E768B3" w14:textId="77777777" w:rsidR="00A110CB" w:rsidRPr="00A110CB" w:rsidRDefault="00A110CB" w:rsidP="00A110CB">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Second affidavit (August 25, 2025): Establishing 37% actual profitability rate and documenting that alleged "victims" were profitable</w:t>
      </w:r>
    </w:p>
    <w:p w14:paraId="40A8904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2. "All Commissions" Data</w:t>
      </w:r>
    </w:p>
    <w:p w14:paraId="1DB461FE" w14:textId="77777777" w:rsidR="00A110CB" w:rsidRPr="00A110CB" w:rsidRDefault="00A110CB" w:rsidP="00A110CB">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Comprehensive commission data totaling over $38 million</w:t>
      </w:r>
    </w:p>
    <w:p w14:paraId="2C201176" w14:textId="77777777" w:rsidR="00A110CB" w:rsidRPr="00A110CB" w:rsidRDefault="00A110CB" w:rsidP="00A110CB">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Detailed breakdowns showing which commission categories were excluded from trial exhibits</w:t>
      </w:r>
    </w:p>
    <w:p w14:paraId="654A9A95" w14:textId="77777777" w:rsidR="00A110CB" w:rsidRPr="00A110CB" w:rsidRDefault="00A110CB" w:rsidP="00A110CB">
      <w:pPr>
        <w:numPr>
          <w:ilvl w:val="0"/>
          <w:numId w:val="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Individual distributor records proving profitability of those portrayed as victims</w:t>
      </w:r>
    </w:p>
    <w:p w14:paraId="7A19213D"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3. Live Database Screenshots</w:t>
      </w:r>
    </w:p>
    <w:p w14:paraId="311D1C91" w14:textId="77777777" w:rsidR="00A110CB" w:rsidRPr="00A110CB" w:rsidRDefault="00A110CB" w:rsidP="00A110CB">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Screenshots from August 2025 showing instant query results</w:t>
      </w:r>
    </w:p>
    <w:p w14:paraId="44DDC6CF" w14:textId="77777777" w:rsidR="00A110CB" w:rsidRPr="00A110CB" w:rsidRDefault="00A110CB" w:rsidP="00A110CB">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Proof that 37% of distributors were profitable (not 4%)</w:t>
      </w:r>
    </w:p>
    <w:p w14:paraId="0B20CEC4" w14:textId="77777777" w:rsidR="00A110CB" w:rsidRPr="00A110CB" w:rsidRDefault="00A110CB" w:rsidP="00A110CB">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Proof that </w:t>
      </w:r>
      <w:proofErr w:type="spellStart"/>
      <w:r w:rsidRPr="00A110CB">
        <w:rPr>
          <w:rFonts w:ascii="Times New Roman" w:eastAsia="Times New Roman" w:hAnsi="Times New Roman" w:cs="Times New Roman"/>
          <w:sz w:val="28"/>
          <w:szCs w:val="28"/>
        </w:rPr>
        <w:t>Queyenne</w:t>
      </w:r>
      <w:proofErr w:type="spellEnd"/>
      <w:r w:rsidRPr="00A110CB">
        <w:rPr>
          <w:rFonts w:ascii="Times New Roman" w:eastAsia="Times New Roman" w:hAnsi="Times New Roman" w:cs="Times New Roman"/>
          <w:sz w:val="28"/>
          <w:szCs w:val="28"/>
        </w:rPr>
        <w:t xml:space="preserve"> Pepito profited $7,733 (not loss of $100,000+)</w:t>
      </w:r>
    </w:p>
    <w:p w14:paraId="04A8E756" w14:textId="77777777" w:rsidR="00A110CB" w:rsidRPr="00A110CB" w:rsidRDefault="00A110CB" w:rsidP="00A110CB">
      <w:pPr>
        <w:numPr>
          <w:ilvl w:val="0"/>
          <w:numId w:val="1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Demonstration that simple queries would have revealed the false narrative</w:t>
      </w:r>
    </w:p>
    <w:p w14:paraId="5EBF6F36"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 xml:space="preserve">4. Analysis of Ms. </w:t>
      </w:r>
      <w:proofErr w:type="spellStart"/>
      <w:r w:rsidRPr="00A110CB">
        <w:rPr>
          <w:rFonts w:ascii="Times New Roman" w:eastAsia="Times New Roman" w:hAnsi="Times New Roman" w:cs="Times New Roman"/>
          <w:b/>
          <w:bCs/>
          <w:sz w:val="28"/>
          <w:szCs w:val="28"/>
        </w:rPr>
        <w:t>Hosseinipour's</w:t>
      </w:r>
      <w:proofErr w:type="spellEnd"/>
      <w:r w:rsidRPr="00A110CB">
        <w:rPr>
          <w:rFonts w:ascii="Times New Roman" w:eastAsia="Times New Roman" w:hAnsi="Times New Roman" w:cs="Times New Roman"/>
          <w:b/>
          <w:bCs/>
          <w:sz w:val="28"/>
          <w:szCs w:val="28"/>
        </w:rPr>
        <w:t xml:space="preserve"> Team</w:t>
      </w:r>
    </w:p>
    <w:p w14:paraId="711A4175" w14:textId="77777777" w:rsidR="00A110CB" w:rsidRPr="00A110CB" w:rsidRDefault="00A110CB" w:rsidP="00A110CB">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Data showing 95% of her personally sponsored team members were profitable</w:t>
      </w:r>
    </w:p>
    <w:p w14:paraId="174E135A" w14:textId="77777777" w:rsidR="00A110CB" w:rsidRPr="00A110CB" w:rsidRDefault="00A110CB" w:rsidP="00A110CB">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Evidence that her earnings reflected others' success, not their losses</w:t>
      </w:r>
    </w:p>
    <w:p w14:paraId="2949224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This evidence was discovered after trial and could not have been obtained earlier through reasonable diligence, as explained in Section V.E below. The evidence is not cumulative—no trial evidence contradicted the government's 96% loss narrative or its commission totals. The evidence is not merely impeaching—it affirmatively proves the business had a 37% profitability rate and paid out 73% more in commissions than represented.</w:t>
      </w:r>
    </w:p>
    <w:p w14:paraId="75B4318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Most importantly, the evidence would likely produce an acquittal upon retrial. The government's entire theory rested on proving that I2G was a fraudulent pyramid scheme in which virtually everyone lost money. Evidence that 37% of participants profited, that total commissions were $38 million (not $9.5 million), and that key "victims" were actually profitable would dismantle that theory.</w:t>
      </w:r>
    </w:p>
    <w:p w14:paraId="1CDC723E"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C. Brady Violations: The Live Database and Filtering Directives Were Suppressed</w:t>
      </w:r>
    </w:p>
    <w:p w14:paraId="50176D8B"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1. The Live Database and Filtering Directives Were Within the Prosecution Team's Possession and Control</w:t>
      </w:r>
    </w:p>
    <w:p w14:paraId="2DD2501A"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Under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the prosecution team includes all those acting on the government's behalf, including contractors and agents. Jerry Reynolds and Backoffice Solutions functioned as part of the prosecution team:</w:t>
      </w:r>
    </w:p>
    <w:p w14:paraId="7857D0C8" w14:textId="77777777" w:rsidR="00A110CB" w:rsidRPr="00A110CB" w:rsidRDefault="00A110CB" w:rsidP="00A110CB">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Reynolds maintained the I2G database at the government's direction</w:t>
      </w:r>
    </w:p>
    <w:p w14:paraId="5BF1729A" w14:textId="77777777" w:rsidR="00A110CB" w:rsidRPr="00A110CB" w:rsidRDefault="00A110CB" w:rsidP="00A110CB">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government directed Reynolds through subpoena instructions regarding what data to extract and what to exclude</w:t>
      </w:r>
    </w:p>
    <w:p w14:paraId="58C67827" w14:textId="77777777" w:rsidR="00A110CB" w:rsidRPr="00A110CB" w:rsidRDefault="00A110CB" w:rsidP="00A110CB">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Reynolds created the trial exhibits (101i, 101f, 101g, 101b, Chart 232) based on government specifications</w:t>
      </w:r>
    </w:p>
    <w:p w14:paraId="50FC53D2" w14:textId="77777777" w:rsidR="00A110CB" w:rsidRPr="00A110CB" w:rsidRDefault="00A110CB" w:rsidP="00A110CB">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government relied on Reynolds' testimony to authenticate these exhibits and represent them as complete and accurate</w:t>
      </w:r>
    </w:p>
    <w:p w14:paraId="7B288F7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live database was not some neutral, third-party resource. It was the tool the prosecution team used to build its case. Agents and prosecutors had ready access to query the database at any time. Reynolds stood ready to run any queries requested by the government.</w:t>
      </w:r>
    </w:p>
    <w:p w14:paraId="5E14521F"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filtering directives—the subpoena instructions telling Reynolds what to exclude—were created by or at the direction of government agents. They documented the government's deliberate decisions about what exculpatory evidence to suppress.</w:t>
      </w:r>
    </w:p>
    <w:p w14:paraId="4C9F483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 xml:space="preserve">Under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xml:space="preserve">, knowledge of and access to this material is imputed to the prosecution. The government cannot avoid </w:t>
      </w: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by claiming the trial prosecutor personally lacked knowledge of what the team's contractor and agents possessed and controlled.</w:t>
      </w:r>
    </w:p>
    <w:p w14:paraId="15A1BDAC"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2. The Live Database and Filtering Directives Were Favorable</w:t>
      </w:r>
    </w:p>
    <w:p w14:paraId="78F62D9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favorable nature of this evidence is beyond dispute:</w:t>
      </w:r>
    </w:p>
    <w:p w14:paraId="174036AD"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Exculpatory value:</w:t>
      </w:r>
    </w:p>
    <w:p w14:paraId="157E5A80" w14:textId="77777777" w:rsidR="00A110CB" w:rsidRPr="00A110CB" w:rsidRDefault="00A110CB" w:rsidP="00A110CB">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live database instantly revealed that 37% of distributors profited, contradicting the government's pyramid scheme theory</w:t>
      </w:r>
    </w:p>
    <w:p w14:paraId="2B629733" w14:textId="77777777" w:rsidR="00A110CB" w:rsidRPr="00A110CB" w:rsidRDefault="00A110CB" w:rsidP="00A110CB">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database showed $38 million in total commissions, undermining loss calculations</w:t>
      </w:r>
    </w:p>
    <w:p w14:paraId="004F49EF" w14:textId="77777777" w:rsidR="00A110CB" w:rsidRPr="00A110CB" w:rsidRDefault="00A110CB" w:rsidP="00A110CB">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database proved that key alleged "victims" were profitable, negating victim status</w:t>
      </w:r>
    </w:p>
    <w:p w14:paraId="7CD41775" w14:textId="77777777" w:rsidR="00A110CB" w:rsidRPr="00A110CB" w:rsidRDefault="00A110CB" w:rsidP="00A110CB">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database demonstrated that 95% of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team profited, supporting her good-faith defense</w:t>
      </w:r>
    </w:p>
    <w:p w14:paraId="6F94E83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Impeachment value:</w:t>
      </w:r>
    </w:p>
    <w:p w14:paraId="3E9CEF21" w14:textId="77777777" w:rsidR="00A110CB" w:rsidRPr="00A110CB" w:rsidRDefault="00A110CB" w:rsidP="00A110CB">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filtering directives would have impeached Reynolds' testimony that the exhibits showed "all" commissions</w:t>
      </w:r>
    </w:p>
    <w:p w14:paraId="258E8F8B" w14:textId="77777777" w:rsidR="00A110CB" w:rsidRPr="00A110CB" w:rsidRDefault="00A110CB" w:rsidP="00A110CB">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live database would have impeached Keep's 96% loss opinion as methodologically unsound</w:t>
      </w:r>
    </w:p>
    <w:p w14:paraId="69259711" w14:textId="77777777" w:rsidR="00A110CB" w:rsidRPr="00A110CB" w:rsidRDefault="00A110CB" w:rsidP="00A110CB">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actual data would have impeached agents' testimony about commission totals and victim counts</w:t>
      </w:r>
    </w:p>
    <w:p w14:paraId="622163A1" w14:textId="77777777" w:rsidR="00A110CB" w:rsidRPr="00A110CB" w:rsidRDefault="00A110CB" w:rsidP="00A110CB">
      <w:pPr>
        <w:numPr>
          <w:ilvl w:val="0"/>
          <w:numId w:val="1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Access to unfiltered data would have exposed the systematic manipulation of the government's core evidence</w:t>
      </w:r>
    </w:p>
    <w:p w14:paraId="35F80C6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and </w:t>
      </w:r>
      <w:r w:rsidRPr="00A110CB">
        <w:rPr>
          <w:rFonts w:ascii="Times New Roman" w:eastAsia="Times New Roman" w:hAnsi="Times New Roman" w:cs="Times New Roman"/>
          <w:i/>
          <w:iCs/>
          <w:sz w:val="28"/>
          <w:szCs w:val="28"/>
        </w:rPr>
        <w:t>Giglio</w:t>
      </w:r>
      <w:r w:rsidRPr="00A110CB">
        <w:rPr>
          <w:rFonts w:ascii="Times New Roman" w:eastAsia="Times New Roman" w:hAnsi="Times New Roman" w:cs="Times New Roman"/>
          <w:sz w:val="28"/>
          <w:szCs w:val="28"/>
        </w:rPr>
        <w:t xml:space="preserve"> encompass both exculpatory and impeachment evidence. This material is both.</w:t>
      </w:r>
    </w:p>
    <w:p w14:paraId="07FFA681"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3. The Evidence Was Suppressed</w:t>
      </w:r>
    </w:p>
    <w:p w14:paraId="75A35E5A"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Suppression means the evidence was not disclosed in time for the defendant to use it effectively at trial. Here, suppression is clear:</w:t>
      </w:r>
    </w:p>
    <w:p w14:paraId="1767AB71" w14:textId="77777777" w:rsidR="00A110CB" w:rsidRPr="00A110CB" w:rsidRDefault="00A110CB" w:rsidP="00A110CB">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live, </w:t>
      </w:r>
      <w:proofErr w:type="spellStart"/>
      <w:r w:rsidRPr="00A110CB">
        <w:rPr>
          <w:rFonts w:ascii="Times New Roman" w:eastAsia="Times New Roman" w:hAnsi="Times New Roman" w:cs="Times New Roman"/>
          <w:sz w:val="28"/>
          <w:szCs w:val="28"/>
        </w:rPr>
        <w:t>queryable</w:t>
      </w:r>
      <w:proofErr w:type="spellEnd"/>
      <w:r w:rsidRPr="00A110CB">
        <w:rPr>
          <w:rFonts w:ascii="Times New Roman" w:eastAsia="Times New Roman" w:hAnsi="Times New Roman" w:cs="Times New Roman"/>
          <w:sz w:val="28"/>
          <w:szCs w:val="28"/>
        </w:rPr>
        <w:t xml:space="preserve"> database was never provided to Ms. Hosseinipour</w:t>
      </w:r>
    </w:p>
    <w:p w14:paraId="7F28D48E" w14:textId="77777777" w:rsidR="00A110CB" w:rsidRPr="00A110CB" w:rsidRDefault="00A110CB" w:rsidP="00A110CB">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filtering directives were never disclosed</w:t>
      </w:r>
    </w:p>
    <w:p w14:paraId="5C6F48DD" w14:textId="77777777" w:rsidR="00A110CB" w:rsidRPr="00A110CB" w:rsidRDefault="00A110CB" w:rsidP="00A110CB">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The "All Commissions" data totaling $38 million was never produced</w:t>
      </w:r>
    </w:p>
    <w:p w14:paraId="344B3B19" w14:textId="77777777" w:rsidR="00A110CB" w:rsidRPr="00A110CB" w:rsidRDefault="00A110CB" w:rsidP="00A110CB">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Ms. Hosseinipour received only heavily filtered, static spreadsheets days before trial</w:t>
      </w:r>
    </w:p>
    <w:p w14:paraId="45270EBD" w14:textId="77777777" w:rsidR="00A110CB" w:rsidRPr="00A110CB" w:rsidRDefault="00A110CB" w:rsidP="00A110CB">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Even after court order, defendants received only a "read-only" version preventing verification queries</w:t>
      </w:r>
    </w:p>
    <w:p w14:paraId="066D4EA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timing and form of what was produced did not cure the suppression. Providing filtered outputs while withholding the live database and the filtering instructions that would reveal the manipulation is the essence of </w:t>
      </w: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suppression.</w:t>
      </w:r>
    </w:p>
    <w:p w14:paraId="2A6EA539"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D. Materiality: The Evidence Undermines Confidence in the Verdict</w:t>
      </w:r>
    </w:p>
    <w:p w14:paraId="71C545A9"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1. The Bagley/Kyles Standard</w:t>
      </w:r>
    </w:p>
    <w:p w14:paraId="380E48F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i/>
          <w:iCs/>
          <w:sz w:val="28"/>
          <w:szCs w:val="28"/>
        </w:rPr>
        <w:t>Bagley</w:t>
      </w:r>
      <w:r w:rsidRPr="00A110CB">
        <w:rPr>
          <w:rFonts w:ascii="Times New Roman" w:eastAsia="Times New Roman" w:hAnsi="Times New Roman" w:cs="Times New Roman"/>
          <w:sz w:val="28"/>
          <w:szCs w:val="28"/>
        </w:rPr>
        <w:t xml:space="preserve"> defines materiality: evidence is material if there is a "reasonable probability" that its disclosure would have produced a different result.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xml:space="preserve"> clarifies that this means a probability "sufficient to undermine confidence in the outcome"—not that acquittal was more likely than not.</w:t>
      </w:r>
    </w:p>
    <w:p w14:paraId="1711632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Materiality must be assessed cumulatively, considering the net effect of all suppressed evidence on the total evidentiary picture.</w:t>
      </w:r>
    </w:p>
    <w:p w14:paraId="11149C18"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2. The Government's Case Rested on False Data</w:t>
      </w:r>
    </w:p>
    <w:p w14:paraId="5EB4F38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prosecution's theory was simple: I2G was a fraudulent pyramid scheme because virtually everyone lost money. The evidence of fraud was quantitative:</w:t>
      </w:r>
    </w:p>
    <w:p w14:paraId="5EF02FDA" w14:textId="77777777" w:rsidR="00A110CB" w:rsidRPr="00A110CB" w:rsidRDefault="00A110CB" w:rsidP="00A110CB">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96% to 97.3% of participants lost money (per Keep's expert testimony)</w:t>
      </w:r>
    </w:p>
    <w:p w14:paraId="3F68B0E9" w14:textId="77777777" w:rsidR="00A110CB" w:rsidRPr="00A110CB" w:rsidRDefault="00A110CB" w:rsidP="00A110CB">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Total commissions were approximately $9.5 million (per Exhibits 101i, 101f, and Chart 232)</w:t>
      </w:r>
    </w:p>
    <w:p w14:paraId="2E57B802" w14:textId="77777777" w:rsidR="00A110CB" w:rsidRPr="00A110CB" w:rsidRDefault="00A110CB" w:rsidP="00A110CB">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commissions paid were far less than the money recruited participants paid in</w:t>
      </w:r>
    </w:p>
    <w:p w14:paraId="763AE4A3" w14:textId="77777777" w:rsidR="00A110CB" w:rsidRPr="00A110CB" w:rsidRDefault="00A110CB" w:rsidP="00A110CB">
      <w:pPr>
        <w:numPr>
          <w:ilvl w:val="0"/>
          <w:numId w:val="16"/>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Therefore, I2G operated as a pyramid scheme dependent on recruitment, not product sales</w:t>
      </w:r>
    </w:p>
    <w:p w14:paraId="4C623F18"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This narrative was delivered through:</w:t>
      </w:r>
    </w:p>
    <w:p w14:paraId="701B5B8D" w14:textId="77777777" w:rsidR="00A110CB" w:rsidRPr="00A110CB" w:rsidRDefault="00A110CB" w:rsidP="00A110CB">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Exhibit 101i</w:t>
      </w:r>
      <w:r w:rsidRPr="00A110CB">
        <w:rPr>
          <w:rFonts w:ascii="Times New Roman" w:eastAsia="Times New Roman" w:hAnsi="Times New Roman" w:cs="Times New Roman"/>
          <w:sz w:val="28"/>
          <w:szCs w:val="28"/>
        </w:rPr>
        <w:t>: Presented as showing "all participant gains and losses"</w:t>
      </w:r>
    </w:p>
    <w:p w14:paraId="64941646" w14:textId="77777777" w:rsidR="00A110CB" w:rsidRPr="00A110CB" w:rsidRDefault="00A110CB" w:rsidP="00A110CB">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Exhibit 101f</w:t>
      </w:r>
      <w:r w:rsidRPr="00A110CB">
        <w:rPr>
          <w:rFonts w:ascii="Times New Roman" w:eastAsia="Times New Roman" w:hAnsi="Times New Roman" w:cs="Times New Roman"/>
          <w:sz w:val="28"/>
          <w:szCs w:val="28"/>
        </w:rPr>
        <w:t>: Presented as showing "all checks" paid</w:t>
      </w:r>
    </w:p>
    <w:p w14:paraId="2027648E" w14:textId="77777777" w:rsidR="00A110CB" w:rsidRPr="00A110CB" w:rsidRDefault="00A110CB" w:rsidP="00A110CB">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Summary Chart 232</w:t>
      </w:r>
      <w:r w:rsidRPr="00A110CB">
        <w:rPr>
          <w:rFonts w:ascii="Times New Roman" w:eastAsia="Times New Roman" w:hAnsi="Times New Roman" w:cs="Times New Roman"/>
          <w:sz w:val="28"/>
          <w:szCs w:val="28"/>
        </w:rPr>
        <w:t>: Summarizing the gain/loss data</w:t>
      </w:r>
    </w:p>
    <w:p w14:paraId="22496F5C" w14:textId="77777777" w:rsidR="00A110CB" w:rsidRPr="00A110CB" w:rsidRDefault="00A110CB" w:rsidP="00A110CB">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lastRenderedPageBreak/>
        <w:t>Reynolds' testimony</w:t>
      </w:r>
      <w:r w:rsidRPr="00A110CB">
        <w:rPr>
          <w:rFonts w:ascii="Times New Roman" w:eastAsia="Times New Roman" w:hAnsi="Times New Roman" w:cs="Times New Roman"/>
          <w:sz w:val="28"/>
          <w:szCs w:val="28"/>
        </w:rPr>
        <w:t>: Authenticating these exhibits as complete and accurate</w:t>
      </w:r>
    </w:p>
    <w:p w14:paraId="7641D2BE" w14:textId="77777777" w:rsidR="00A110CB" w:rsidRPr="00A110CB" w:rsidRDefault="00A110CB" w:rsidP="00A110CB">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Agents' testimony</w:t>
      </w:r>
      <w:r w:rsidRPr="00A110CB">
        <w:rPr>
          <w:rFonts w:ascii="Times New Roman" w:eastAsia="Times New Roman" w:hAnsi="Times New Roman" w:cs="Times New Roman"/>
          <w:sz w:val="28"/>
          <w:szCs w:val="28"/>
        </w:rPr>
        <w:t>: Confirming commission totals and loss rates</w:t>
      </w:r>
    </w:p>
    <w:p w14:paraId="563EB750" w14:textId="77777777" w:rsidR="00A110CB" w:rsidRPr="00A110CB" w:rsidRDefault="00A110CB" w:rsidP="00A110CB">
      <w:pPr>
        <w:numPr>
          <w:ilvl w:val="0"/>
          <w:numId w:val="17"/>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Keep's expert testimony</w:t>
      </w:r>
      <w:r w:rsidRPr="00A110CB">
        <w:rPr>
          <w:rFonts w:ascii="Times New Roman" w:eastAsia="Times New Roman" w:hAnsi="Times New Roman" w:cs="Times New Roman"/>
          <w:sz w:val="28"/>
          <w:szCs w:val="28"/>
        </w:rPr>
        <w:t>: Opining on the 96% loss rate based on this data</w:t>
      </w:r>
    </w:p>
    <w:p w14:paraId="3F0B4E4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jury instructions incorporated these false figures, directing jurors to consider specific "victim investors" who allegedly lost hundreds of thousands of dollars.</w:t>
      </w:r>
    </w:p>
    <w:p w14:paraId="2FC7E2CC"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3. The Suppressed Evidence Would Have Dismantled This Narrative</w:t>
      </w:r>
    </w:p>
    <w:p w14:paraId="22548B7F"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Had Ms. Hosseinipour possessed the live database, the filtering directives, and the "All Commissions" data, the trial would have unfolded differently:</w:t>
      </w:r>
    </w:p>
    <w:p w14:paraId="20784362"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Foundation challenges:</w:t>
      </w:r>
    </w:p>
    <w:p w14:paraId="40BDBB93" w14:textId="77777777" w:rsidR="00A110CB" w:rsidRPr="00A110CB" w:rsidRDefault="00A110CB" w:rsidP="00A110CB">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Ms. Hosseinipour could have moved to exclude Exhibits 101i, 101f, 101g, 101b, and Chart 232 for lack of completeness and reliability under Rule 1006</w:t>
      </w:r>
    </w:p>
    <w:p w14:paraId="49D1E05A" w14:textId="77777777" w:rsidR="00A110CB" w:rsidRPr="00A110CB" w:rsidRDefault="00A110CB" w:rsidP="00A110CB">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filtering directives would have proven that the exhibits systematically excluded 73% of total commissions</w:t>
      </w:r>
    </w:p>
    <w:p w14:paraId="1398B065" w14:textId="77777777" w:rsidR="00A110CB" w:rsidRPr="00A110CB" w:rsidRDefault="00A110CB" w:rsidP="00A110CB">
      <w:pPr>
        <w:numPr>
          <w:ilvl w:val="0"/>
          <w:numId w:val="18"/>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court would have been forced to limit or exclude these exhibits, or at minimum issue strong limiting instructions</w:t>
      </w:r>
    </w:p>
    <w:p w14:paraId="63B3C20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Devastating cross-examination:</w:t>
      </w:r>
    </w:p>
    <w:p w14:paraId="02281869" w14:textId="77777777" w:rsidR="00A110CB" w:rsidRPr="00A110CB" w:rsidRDefault="00A110CB" w:rsidP="00A110CB">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Reynolds would have been confronted with proof that $28 million in commissions were filtered out at the government's direction</w:t>
      </w:r>
    </w:p>
    <w:p w14:paraId="573D23A6" w14:textId="77777777" w:rsidR="00A110CB" w:rsidRPr="00A110CB" w:rsidRDefault="00A110CB" w:rsidP="00A110CB">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Agents would have been impeached regarding their knowledge of actual commission totals</w:t>
      </w:r>
    </w:p>
    <w:p w14:paraId="5F8D774A" w14:textId="77777777" w:rsidR="00A110CB" w:rsidRPr="00A110CB" w:rsidRDefault="00A110CB" w:rsidP="00A110CB">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Keep would have been forced to admit his 96% loss opinion rested on incomplete, manipulated data</w:t>
      </w:r>
    </w:p>
    <w:p w14:paraId="51263683" w14:textId="77777777" w:rsidR="00A110CB" w:rsidRPr="00A110CB" w:rsidRDefault="00A110CB" w:rsidP="00A110CB">
      <w:pPr>
        <w:numPr>
          <w:ilvl w:val="0"/>
          <w:numId w:val="19"/>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All four witnesses could have been shown that "victims" like Pepito, Kim, and </w:t>
      </w:r>
      <w:proofErr w:type="spellStart"/>
      <w:r w:rsidRPr="00A110CB">
        <w:rPr>
          <w:rFonts w:ascii="Times New Roman" w:eastAsia="Times New Roman" w:hAnsi="Times New Roman" w:cs="Times New Roman"/>
          <w:sz w:val="28"/>
          <w:szCs w:val="28"/>
        </w:rPr>
        <w:t>Jeong</w:t>
      </w:r>
      <w:proofErr w:type="spellEnd"/>
      <w:r w:rsidRPr="00A110CB">
        <w:rPr>
          <w:rFonts w:ascii="Times New Roman" w:eastAsia="Times New Roman" w:hAnsi="Times New Roman" w:cs="Times New Roman"/>
          <w:sz w:val="28"/>
          <w:szCs w:val="28"/>
        </w:rPr>
        <w:t xml:space="preserve"> were actually profitable</w:t>
      </w:r>
    </w:p>
    <w:p w14:paraId="42061742"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Defense case:</w:t>
      </w:r>
    </w:p>
    <w:p w14:paraId="7EB70661" w14:textId="77777777" w:rsidR="00A110CB" w:rsidRPr="00A110CB" w:rsidRDefault="00A110CB" w:rsidP="00A110CB">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Ms. Hosseinipour could have presented her own expert with the complete database</w:t>
      </w:r>
    </w:p>
    <w:p w14:paraId="4E7CBB69" w14:textId="77777777" w:rsidR="00A110CB" w:rsidRPr="00A110CB" w:rsidRDefault="00A110CB" w:rsidP="00A110CB">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Defense expert could have testified to 37% actual profitability rate</w:t>
      </w:r>
    </w:p>
    <w:p w14:paraId="222E94DF" w14:textId="77777777" w:rsidR="00A110CB" w:rsidRPr="00A110CB" w:rsidRDefault="00A110CB" w:rsidP="00A110CB">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Defense could have demonstrated $38 million in total commissions</w:t>
      </w:r>
    </w:p>
    <w:p w14:paraId="7011EDCD" w14:textId="77777777" w:rsidR="00A110CB" w:rsidRPr="00A110CB" w:rsidRDefault="00A110CB" w:rsidP="00A110CB">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 xml:space="preserve">Evidence would have shown 95% of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team profitable, supporting good faith</w:t>
      </w:r>
    </w:p>
    <w:p w14:paraId="7ADCB38D" w14:textId="77777777" w:rsidR="00A110CB" w:rsidRPr="00A110CB" w:rsidRDefault="00A110CB" w:rsidP="00A110CB">
      <w:pPr>
        <w:numPr>
          <w:ilvl w:val="0"/>
          <w:numId w:val="20"/>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defense narrative—that I2G was a legitimate MLM with above-average success rates—would have been supported by the actual data</w:t>
      </w:r>
    </w:p>
    <w:p w14:paraId="7FE11F9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Reframed closing arguments:</w:t>
      </w:r>
    </w:p>
    <w:p w14:paraId="7A857E9A" w14:textId="77777777" w:rsidR="00A110CB" w:rsidRPr="00A110CB" w:rsidRDefault="00A110CB" w:rsidP="00A110CB">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Defense could have argued that a 37% profitability rate exceeds typical MLM success rates (FTC data shows 95-99.5% of MLM participants earn less than $1,000)</w:t>
      </w:r>
    </w:p>
    <w:p w14:paraId="6E56D44D" w14:textId="77777777" w:rsidR="00A110CB" w:rsidRPr="00A110CB" w:rsidRDefault="00A110CB" w:rsidP="00A110CB">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pyramid scheme theory would have collapsed when jurors learned that thousands classified as "victims" were actually profitable</w:t>
      </w:r>
    </w:p>
    <w:p w14:paraId="141B7FA4" w14:textId="77777777" w:rsidR="00A110CB" w:rsidRPr="00A110CB" w:rsidRDefault="00A110CB" w:rsidP="00A110CB">
      <w:pPr>
        <w:numPr>
          <w:ilvl w:val="0"/>
          <w:numId w:val="21"/>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intent to defraud would have been negated by proof that her team members genuinely succeeded</w:t>
      </w:r>
    </w:p>
    <w:p w14:paraId="7DFC7F2E"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4. Reasonable Probability of Different Result</w:t>
      </w:r>
    </w:p>
    <w:p w14:paraId="5AA8084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test is not certainty of acquittal—it is whether confidence in the verdict is undermined. That standard is easily met here.</w:t>
      </w:r>
    </w:p>
    <w:p w14:paraId="7B52CD08"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government's case was not based on subjective testimony about deceptive conduct or intent. It was based on quantitative proof: numbers showing that virtually everyone lost money. When those numbers are proven false—when 37% actually profited and commissions were 73% higher than represented—the evidentiary foundation crumbles.</w:t>
      </w:r>
    </w:p>
    <w:p w14:paraId="3290970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Consider what the jury was told versus what the suppressed evidence would have shown: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7"/>
        <w:gridCol w:w="2930"/>
        <w:gridCol w:w="4193"/>
      </w:tblGrid>
      <w:tr w:rsidR="00A110CB" w:rsidRPr="00A110CB" w14:paraId="0F420F05" w14:textId="77777777" w:rsidTr="00A110CB">
        <w:trPr>
          <w:tblHeader/>
          <w:tblCellSpacing w:w="15" w:type="dxa"/>
        </w:trPr>
        <w:tc>
          <w:tcPr>
            <w:tcW w:w="0" w:type="auto"/>
            <w:vAlign w:val="center"/>
            <w:hideMark/>
          </w:tcPr>
          <w:p w14:paraId="6FFFC455" w14:textId="77777777" w:rsidR="00A110CB" w:rsidRPr="00A110CB" w:rsidRDefault="00A110CB" w:rsidP="00A110CB">
            <w:pPr>
              <w:spacing w:after="0" w:line="240" w:lineRule="auto"/>
              <w:jc w:val="center"/>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Issue</w:t>
            </w:r>
          </w:p>
        </w:tc>
        <w:tc>
          <w:tcPr>
            <w:tcW w:w="0" w:type="auto"/>
            <w:vAlign w:val="center"/>
            <w:hideMark/>
          </w:tcPr>
          <w:p w14:paraId="421BDF53" w14:textId="77777777" w:rsidR="00A110CB" w:rsidRPr="00A110CB" w:rsidRDefault="00A110CB" w:rsidP="00A110CB">
            <w:pPr>
              <w:spacing w:after="0" w:line="240" w:lineRule="auto"/>
              <w:jc w:val="center"/>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Trial Representation</w:t>
            </w:r>
          </w:p>
        </w:tc>
        <w:tc>
          <w:tcPr>
            <w:tcW w:w="0" w:type="auto"/>
            <w:vAlign w:val="center"/>
            <w:hideMark/>
          </w:tcPr>
          <w:p w14:paraId="4253431A" w14:textId="77777777" w:rsidR="00A110CB" w:rsidRPr="00A110CB" w:rsidRDefault="00A110CB" w:rsidP="00A110CB">
            <w:pPr>
              <w:spacing w:after="0" w:line="240" w:lineRule="auto"/>
              <w:jc w:val="center"/>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Actual Data (Suppressed)</w:t>
            </w:r>
          </w:p>
        </w:tc>
      </w:tr>
      <w:tr w:rsidR="00A110CB" w:rsidRPr="00A110CB" w14:paraId="6EEE4480" w14:textId="77777777" w:rsidTr="00A110CB">
        <w:trPr>
          <w:tblCellSpacing w:w="15" w:type="dxa"/>
        </w:trPr>
        <w:tc>
          <w:tcPr>
            <w:tcW w:w="0" w:type="auto"/>
            <w:vAlign w:val="center"/>
            <w:hideMark/>
          </w:tcPr>
          <w:p w14:paraId="7446ECBC"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Profitability rate</w:t>
            </w:r>
          </w:p>
        </w:tc>
        <w:tc>
          <w:tcPr>
            <w:tcW w:w="0" w:type="auto"/>
            <w:vAlign w:val="center"/>
            <w:hideMark/>
          </w:tcPr>
          <w:p w14:paraId="5FF4D1CB"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4% profitable</w:t>
            </w:r>
          </w:p>
        </w:tc>
        <w:tc>
          <w:tcPr>
            <w:tcW w:w="0" w:type="auto"/>
            <w:vAlign w:val="center"/>
            <w:hideMark/>
          </w:tcPr>
          <w:p w14:paraId="4E214F5B"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37% profitable</w:t>
            </w:r>
          </w:p>
        </w:tc>
      </w:tr>
      <w:tr w:rsidR="00A110CB" w:rsidRPr="00A110CB" w14:paraId="12DCB7D7" w14:textId="77777777" w:rsidTr="00A110CB">
        <w:trPr>
          <w:tblCellSpacing w:w="15" w:type="dxa"/>
        </w:trPr>
        <w:tc>
          <w:tcPr>
            <w:tcW w:w="0" w:type="auto"/>
            <w:vAlign w:val="center"/>
            <w:hideMark/>
          </w:tcPr>
          <w:p w14:paraId="45C6D8A9"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Total commissions</w:t>
            </w:r>
          </w:p>
        </w:tc>
        <w:tc>
          <w:tcPr>
            <w:tcW w:w="0" w:type="auto"/>
            <w:vAlign w:val="center"/>
            <w:hideMark/>
          </w:tcPr>
          <w:p w14:paraId="7872B677"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~$9.5 million</w:t>
            </w:r>
          </w:p>
        </w:tc>
        <w:tc>
          <w:tcPr>
            <w:tcW w:w="0" w:type="auto"/>
            <w:vAlign w:val="center"/>
            <w:hideMark/>
          </w:tcPr>
          <w:p w14:paraId="63CEE2B9"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$38+ million</w:t>
            </w:r>
          </w:p>
        </w:tc>
      </w:tr>
      <w:tr w:rsidR="00A110CB" w:rsidRPr="00A110CB" w14:paraId="52168EA1" w14:textId="77777777" w:rsidTr="00A110CB">
        <w:trPr>
          <w:tblCellSpacing w:w="15" w:type="dxa"/>
        </w:trPr>
        <w:tc>
          <w:tcPr>
            <w:tcW w:w="0" w:type="auto"/>
            <w:vAlign w:val="center"/>
            <w:hideMark/>
          </w:tcPr>
          <w:p w14:paraId="38856469" w14:textId="77777777" w:rsidR="00A110CB" w:rsidRPr="00A110CB" w:rsidRDefault="00A110CB" w:rsidP="00A110CB">
            <w:pPr>
              <w:spacing w:after="0" w:line="240" w:lineRule="auto"/>
              <w:rPr>
                <w:rFonts w:ascii="Times New Roman" w:eastAsia="Times New Roman" w:hAnsi="Times New Roman" w:cs="Times New Roman"/>
                <w:sz w:val="28"/>
                <w:szCs w:val="28"/>
              </w:rPr>
            </w:pPr>
            <w:proofErr w:type="spellStart"/>
            <w:r w:rsidRPr="00A110CB">
              <w:rPr>
                <w:rFonts w:ascii="Times New Roman" w:eastAsia="Times New Roman" w:hAnsi="Times New Roman" w:cs="Times New Roman"/>
                <w:sz w:val="28"/>
                <w:szCs w:val="28"/>
              </w:rPr>
              <w:t>Queyenne</w:t>
            </w:r>
            <w:proofErr w:type="spellEnd"/>
            <w:r w:rsidRPr="00A110CB">
              <w:rPr>
                <w:rFonts w:ascii="Times New Roman" w:eastAsia="Times New Roman" w:hAnsi="Times New Roman" w:cs="Times New Roman"/>
                <w:sz w:val="28"/>
                <w:szCs w:val="28"/>
              </w:rPr>
              <w:t xml:space="preserve"> Pepito</w:t>
            </w:r>
          </w:p>
        </w:tc>
        <w:tc>
          <w:tcPr>
            <w:tcW w:w="0" w:type="auto"/>
            <w:vAlign w:val="center"/>
            <w:hideMark/>
          </w:tcPr>
          <w:p w14:paraId="7069D78C"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Lost $100,000+</w:t>
            </w:r>
          </w:p>
        </w:tc>
        <w:tc>
          <w:tcPr>
            <w:tcW w:w="0" w:type="auto"/>
            <w:vAlign w:val="center"/>
            <w:hideMark/>
          </w:tcPr>
          <w:p w14:paraId="277F1A09"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Profited $7,733</w:t>
            </w:r>
          </w:p>
        </w:tc>
      </w:tr>
      <w:tr w:rsidR="00A110CB" w:rsidRPr="00A110CB" w14:paraId="4E42FBDC" w14:textId="77777777" w:rsidTr="00A110CB">
        <w:trPr>
          <w:tblCellSpacing w:w="15" w:type="dxa"/>
        </w:trPr>
        <w:tc>
          <w:tcPr>
            <w:tcW w:w="0" w:type="auto"/>
            <w:vAlign w:val="center"/>
            <w:hideMark/>
          </w:tcPr>
          <w:p w14:paraId="466A9BA4"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Michelle Kim</w:t>
            </w:r>
          </w:p>
        </w:tc>
        <w:tc>
          <w:tcPr>
            <w:tcW w:w="0" w:type="auto"/>
            <w:vAlign w:val="center"/>
            <w:hideMark/>
          </w:tcPr>
          <w:p w14:paraId="02E1C4AA"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Lost hundreds of thousands</w:t>
            </w:r>
          </w:p>
        </w:tc>
        <w:tc>
          <w:tcPr>
            <w:tcW w:w="0" w:type="auto"/>
            <w:vAlign w:val="center"/>
            <w:hideMark/>
          </w:tcPr>
          <w:p w14:paraId="2A425852"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Net gainer, earned hundreds of thousands</w:t>
            </w:r>
          </w:p>
        </w:tc>
      </w:tr>
      <w:tr w:rsidR="00A110CB" w:rsidRPr="00A110CB" w14:paraId="5BFB1E02" w14:textId="77777777" w:rsidTr="00A110CB">
        <w:trPr>
          <w:tblCellSpacing w:w="15" w:type="dxa"/>
        </w:trPr>
        <w:tc>
          <w:tcPr>
            <w:tcW w:w="0" w:type="auto"/>
            <w:vAlign w:val="center"/>
            <w:hideMark/>
          </w:tcPr>
          <w:p w14:paraId="7AC50EFE"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Shin </w:t>
            </w:r>
            <w:proofErr w:type="spellStart"/>
            <w:r w:rsidRPr="00A110CB">
              <w:rPr>
                <w:rFonts w:ascii="Times New Roman" w:eastAsia="Times New Roman" w:hAnsi="Times New Roman" w:cs="Times New Roman"/>
                <w:sz w:val="28"/>
                <w:szCs w:val="28"/>
              </w:rPr>
              <w:t>Jeong</w:t>
            </w:r>
            <w:proofErr w:type="spellEnd"/>
          </w:p>
        </w:tc>
        <w:tc>
          <w:tcPr>
            <w:tcW w:w="0" w:type="auto"/>
            <w:vAlign w:val="center"/>
            <w:hideMark/>
          </w:tcPr>
          <w:p w14:paraId="74DD31F0"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Lost hundreds of thousands</w:t>
            </w:r>
          </w:p>
        </w:tc>
        <w:tc>
          <w:tcPr>
            <w:tcW w:w="0" w:type="auto"/>
            <w:vAlign w:val="center"/>
            <w:hideMark/>
          </w:tcPr>
          <w:p w14:paraId="64D1B434"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Net gainer, earned hundreds of thousands</w:t>
            </w:r>
          </w:p>
        </w:tc>
      </w:tr>
      <w:tr w:rsidR="00A110CB" w:rsidRPr="00A110CB" w14:paraId="1018992A" w14:textId="77777777" w:rsidTr="00A110CB">
        <w:trPr>
          <w:tblCellSpacing w:w="15" w:type="dxa"/>
        </w:trPr>
        <w:tc>
          <w:tcPr>
            <w:tcW w:w="0" w:type="auto"/>
            <w:vAlign w:val="center"/>
            <w:hideMark/>
          </w:tcPr>
          <w:p w14:paraId="4BBB1AE0" w14:textId="77777777" w:rsidR="00A110CB" w:rsidRPr="00A110CB" w:rsidRDefault="00A110CB" w:rsidP="00A110CB">
            <w:pPr>
              <w:spacing w:after="0" w:line="240" w:lineRule="auto"/>
              <w:rPr>
                <w:rFonts w:ascii="Times New Roman" w:eastAsia="Times New Roman" w:hAnsi="Times New Roman" w:cs="Times New Roman"/>
                <w:sz w:val="28"/>
                <w:szCs w:val="28"/>
              </w:rPr>
            </w:pP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team</w:t>
            </w:r>
          </w:p>
        </w:tc>
        <w:tc>
          <w:tcPr>
            <w:tcW w:w="0" w:type="auto"/>
            <w:vAlign w:val="center"/>
            <w:hideMark/>
          </w:tcPr>
          <w:p w14:paraId="6402EFA5"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Not addressed</w:t>
            </w:r>
          </w:p>
        </w:tc>
        <w:tc>
          <w:tcPr>
            <w:tcW w:w="0" w:type="auto"/>
            <w:vAlign w:val="center"/>
            <w:hideMark/>
          </w:tcPr>
          <w:p w14:paraId="5FB078D6"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95% profitable</w:t>
            </w:r>
          </w:p>
        </w:tc>
      </w:tr>
    </w:tbl>
    <w:p w14:paraId="1AB8978F"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These are not minor discrepancies or matters of interpretation. These are foundational facts that, if accurately presented, would have changed the jury's entire understanding of the enterprise.</w:t>
      </w:r>
    </w:p>
    <w:p w14:paraId="369AFE60"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At minimum, there is a reasonable probability that jurors presented with accurate data would have harbored reasonable doubt about whether I2G was a fraudulent pyramid scheme or a legitimate MLM with above-average success rates. There is a reasonable probability they would have questioned whether Ms. Hosseinipour—whose team members were 95% profitable—acted with intent to defraud.</w:t>
      </w:r>
    </w:p>
    <w:p w14:paraId="731D6FE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That is sufficient to establish materiality under </w:t>
      </w:r>
      <w:r w:rsidRPr="00A110CB">
        <w:rPr>
          <w:rFonts w:ascii="Times New Roman" w:eastAsia="Times New Roman" w:hAnsi="Times New Roman" w:cs="Times New Roman"/>
          <w:i/>
          <w:iCs/>
          <w:sz w:val="28"/>
          <w:szCs w:val="28"/>
        </w:rPr>
        <w:t>Bagley</w:t>
      </w:r>
      <w:r w:rsidRPr="00A110CB">
        <w:rPr>
          <w:rFonts w:ascii="Times New Roman" w:eastAsia="Times New Roman" w:hAnsi="Times New Roman" w:cs="Times New Roman"/>
          <w:sz w:val="28"/>
          <w:szCs w:val="28"/>
        </w:rPr>
        <w:t xml:space="preserve"> and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w:t>
      </w:r>
    </w:p>
    <w:p w14:paraId="4B5AF89D"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5. Cumulative Assessment</w:t>
      </w:r>
    </w:p>
    <w:p w14:paraId="7C00771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xml:space="preserve"> requires cumulative assessment of all suppressed evidence. The combined effect here is devastating:</w:t>
      </w:r>
    </w:p>
    <w:p w14:paraId="38E4FE27" w14:textId="77777777" w:rsidR="00A110CB" w:rsidRPr="00A110CB" w:rsidRDefault="00A110CB" w:rsidP="00A110CB">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Live database</w:t>
      </w:r>
      <w:r w:rsidRPr="00A110CB">
        <w:rPr>
          <w:rFonts w:ascii="Times New Roman" w:eastAsia="Times New Roman" w:hAnsi="Times New Roman" w:cs="Times New Roman"/>
          <w:sz w:val="28"/>
          <w:szCs w:val="28"/>
        </w:rPr>
        <w:t>: Provided instant access to accurate profitability calculations and commission totals that disproved the government's narrative</w:t>
      </w:r>
    </w:p>
    <w:p w14:paraId="43F6E786" w14:textId="77777777" w:rsidR="00A110CB" w:rsidRPr="00A110CB" w:rsidRDefault="00A110CB" w:rsidP="00A110CB">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Filtering directives</w:t>
      </w:r>
      <w:r w:rsidRPr="00A110CB">
        <w:rPr>
          <w:rFonts w:ascii="Times New Roman" w:eastAsia="Times New Roman" w:hAnsi="Times New Roman" w:cs="Times New Roman"/>
          <w:sz w:val="28"/>
          <w:szCs w:val="28"/>
        </w:rPr>
        <w:t>: Documented the government's deliberate exclusion of $28 million in commissions and proved systematic manipulation</w:t>
      </w:r>
    </w:p>
    <w:p w14:paraId="721CD2D9" w14:textId="77777777" w:rsidR="00A110CB" w:rsidRPr="00A110CB" w:rsidRDefault="00A110CB" w:rsidP="00A110CB">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"All Commissions" data</w:t>
      </w:r>
      <w:r w:rsidRPr="00A110CB">
        <w:rPr>
          <w:rFonts w:ascii="Times New Roman" w:eastAsia="Times New Roman" w:hAnsi="Times New Roman" w:cs="Times New Roman"/>
          <w:sz w:val="28"/>
          <w:szCs w:val="28"/>
        </w:rPr>
        <w:t>: Showed the actual scope of what was filtered out and enabled verification of individual distributor profitability</w:t>
      </w:r>
    </w:p>
    <w:p w14:paraId="56D1C07F" w14:textId="77777777" w:rsidR="00A110CB" w:rsidRPr="00A110CB" w:rsidRDefault="00A110CB" w:rsidP="00A110CB">
      <w:pPr>
        <w:numPr>
          <w:ilvl w:val="0"/>
          <w:numId w:val="22"/>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Contamination evidence</w:t>
      </w:r>
      <w:r w:rsidRPr="00A110CB">
        <w:rPr>
          <w:rFonts w:ascii="Times New Roman" w:eastAsia="Times New Roman" w:hAnsi="Times New Roman" w:cs="Times New Roman"/>
          <w:sz w:val="28"/>
          <w:szCs w:val="28"/>
        </w:rPr>
        <w:t>: Revealed that supposedly I2G-specific, charged-period exhibits actually included two years of post-indictment, non-I2G data</w:t>
      </w:r>
    </w:p>
    <w:p w14:paraId="47D2B71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Together, this evidence would have:</w:t>
      </w:r>
    </w:p>
    <w:p w14:paraId="79C76105" w14:textId="77777777" w:rsidR="00A110CB" w:rsidRPr="00A110CB" w:rsidRDefault="00A110CB" w:rsidP="00A110CB">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Excluded or severely limited the government's key exhibits</w:t>
      </w:r>
    </w:p>
    <w:p w14:paraId="70E1F154" w14:textId="77777777" w:rsidR="00A110CB" w:rsidRPr="00A110CB" w:rsidRDefault="00A110CB" w:rsidP="00A110CB">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Impeached all four data witnesses</w:t>
      </w:r>
    </w:p>
    <w:p w14:paraId="26F40EBD" w14:textId="77777777" w:rsidR="00A110CB" w:rsidRPr="00A110CB" w:rsidRDefault="00A110CB" w:rsidP="00A110CB">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Enabled a compelling defense case with competing expert analysis</w:t>
      </w:r>
    </w:p>
    <w:p w14:paraId="7BE63FCC" w14:textId="77777777" w:rsidR="00A110CB" w:rsidRPr="00A110CB" w:rsidRDefault="00A110CB" w:rsidP="00A110CB">
      <w:pPr>
        <w:numPr>
          <w:ilvl w:val="0"/>
          <w:numId w:val="23"/>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Reframed the entire narrative from "pyramid scheme where everyone loses" to "legitimate MLM with above-average success rates"</w:t>
      </w:r>
    </w:p>
    <w:p w14:paraId="4B2A7ED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cumulative effect plainly undermines confidence in the verdict.</w:t>
      </w:r>
    </w:p>
    <w:p w14:paraId="38505F76"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E. Due Diligence and Timing</w:t>
      </w:r>
    </w:p>
    <w:p w14:paraId="7E6B008A"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1. The Evidence Could Not Have Been Discovered Earlier</w:t>
      </w:r>
    </w:p>
    <w:p w14:paraId="6A00A3B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t>Ms. Hosseinipour exercised due diligence but was structurally prevented from discovering this evidence by the government's suppression:</w:t>
      </w:r>
    </w:p>
    <w:p w14:paraId="3594BD5B"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Co-defendant's diligent efforts:</w:t>
      </w:r>
      <w:r w:rsidRPr="00A110CB">
        <w:rPr>
          <w:rFonts w:ascii="Times New Roman" w:eastAsia="Times New Roman" w:hAnsi="Times New Roman" w:cs="Times New Roman"/>
          <w:sz w:val="28"/>
          <w:szCs w:val="28"/>
        </w:rPr>
        <w:t xml:space="preserve"> </w:t>
      </w:r>
      <w:proofErr w:type="spellStart"/>
      <w:r w:rsidRPr="00A110CB">
        <w:rPr>
          <w:rFonts w:ascii="Times New Roman" w:eastAsia="Times New Roman" w:hAnsi="Times New Roman" w:cs="Times New Roman"/>
          <w:sz w:val="28"/>
          <w:szCs w:val="28"/>
        </w:rPr>
        <w:t>Maike's</w:t>
      </w:r>
      <w:proofErr w:type="spellEnd"/>
      <w:r w:rsidRPr="00A110CB">
        <w:rPr>
          <w:rFonts w:ascii="Times New Roman" w:eastAsia="Times New Roman" w:hAnsi="Times New Roman" w:cs="Times New Roman"/>
          <w:sz w:val="28"/>
          <w:szCs w:val="28"/>
        </w:rPr>
        <w:t xml:space="preserve"> counsel repeatedly requested access to the live, </w:t>
      </w:r>
      <w:proofErr w:type="spellStart"/>
      <w:r w:rsidRPr="00A110CB">
        <w:rPr>
          <w:rFonts w:ascii="Times New Roman" w:eastAsia="Times New Roman" w:hAnsi="Times New Roman" w:cs="Times New Roman"/>
          <w:sz w:val="28"/>
          <w:szCs w:val="28"/>
        </w:rPr>
        <w:t>queryable</w:t>
      </w:r>
      <w:proofErr w:type="spellEnd"/>
      <w:r w:rsidRPr="00A110CB">
        <w:rPr>
          <w:rFonts w:ascii="Times New Roman" w:eastAsia="Times New Roman" w:hAnsi="Times New Roman" w:cs="Times New Roman"/>
          <w:sz w:val="28"/>
          <w:szCs w:val="28"/>
        </w:rPr>
        <w:t xml:space="preserve"> database before and during trial. Despite these requests and even a court order, defendants received only filtered, static outputs and ultimately a "read-only" version that prevented running queries to verify data or test the government's calculations.</w:t>
      </w:r>
    </w:p>
    <w:p w14:paraId="26310FC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Distributor-defendant's structural disadvantage:</w:t>
      </w:r>
      <w:r w:rsidRPr="00A110CB">
        <w:rPr>
          <w:rFonts w:ascii="Times New Roman" w:eastAsia="Times New Roman" w:hAnsi="Times New Roman" w:cs="Times New Roman"/>
          <w:sz w:val="28"/>
          <w:szCs w:val="28"/>
        </w:rPr>
        <w:t xml:space="preserve"> Ms. Hosseinipour was a low-level distributor with no access to company data. Unlike the owners, she had no independent means of obtaining I2G records. She was entirely dependent on discovery from the government.</w:t>
      </w:r>
    </w:p>
    <w:p w14:paraId="4337C06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Ineffective assistance compounded the problem:</w:t>
      </w:r>
      <w:r w:rsidRPr="00A110CB">
        <w:rPr>
          <w:rFonts w:ascii="Times New Roman" w:eastAsia="Times New Roman" w:hAnsi="Times New Roman" w:cs="Times New Roman"/>
          <w:sz w:val="28"/>
          <w:szCs w:val="28"/>
        </w:rPr>
        <w:t xml:space="preserve"> As the Sixth Circuit recognized,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counsel was constitutionally ineffective. Among his deficiencies: he did not understand that company data could be used against his client, referring to such data as "unrelated to his client." This failure meant counsel did not pursue the database access that competent counsel would have demanded.</w:t>
      </w:r>
    </w:p>
    <w:p w14:paraId="4CDC16B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Late and filtered production:</w:t>
      </w:r>
      <w:r w:rsidRPr="00A110CB">
        <w:rPr>
          <w:rFonts w:ascii="Times New Roman" w:eastAsia="Times New Roman" w:hAnsi="Times New Roman" w:cs="Times New Roman"/>
          <w:sz w:val="28"/>
          <w:szCs w:val="28"/>
        </w:rPr>
        <w:t xml:space="preserve"> The government provided heavily filtered spreadsheets days before trial—too late for meaningful analysis even if counsel had been competent. The exhibits lacked proper identification, had unreadable or obscured date fields, and came without the metadata or source documentation needed to assess completeness.</w:t>
      </w:r>
    </w:p>
    <w:p w14:paraId="32603D47"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The government alone knew what was excluded:</w:t>
      </w:r>
      <w:r w:rsidRPr="00A110CB">
        <w:rPr>
          <w:rFonts w:ascii="Times New Roman" w:eastAsia="Times New Roman" w:hAnsi="Times New Roman" w:cs="Times New Roman"/>
          <w:sz w:val="28"/>
          <w:szCs w:val="28"/>
        </w:rPr>
        <w:t xml:space="preserve"> Under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the burden is on the prosecution to disclose favorable evidence—not on the defense to divine what the government is hiding. The government directed the filtering, possessed the live database, and knew that $28 million in commissions had been excluded. Ms. Hosseinipour had no way to know what she didn't have.</w:t>
      </w:r>
    </w:p>
    <w:p w14:paraId="311B9B9E" w14:textId="77777777" w:rsidR="00A110CB" w:rsidRPr="00A110CB" w:rsidRDefault="00A110CB" w:rsidP="00A110CB">
      <w:pPr>
        <w:spacing w:before="100" w:beforeAutospacing="1" w:after="100" w:afterAutospacing="1" w:line="240" w:lineRule="auto"/>
        <w:outlineLvl w:val="3"/>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2. Post-Trial Timing Confirms Newly Discovered Status</w:t>
      </w:r>
    </w:p>
    <w:p w14:paraId="0B2DD98A"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evidence emerged post-trial through Reynolds' own initiative:</w:t>
      </w:r>
    </w:p>
    <w:p w14:paraId="78FF2E2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April 2023</w:t>
      </w:r>
      <w:r w:rsidRPr="00A110CB">
        <w:rPr>
          <w:rFonts w:ascii="Times New Roman" w:eastAsia="Times New Roman" w:hAnsi="Times New Roman" w:cs="Times New Roman"/>
          <w:sz w:val="28"/>
          <w:szCs w:val="28"/>
        </w:rPr>
        <w:t>: Reynolds became aware that significant commissions had been filtered out and contacted defense counsel, providing his first affidavit and the "All Commissions" data. This was the first time anyone on the defense side learned of the $28 million exclusion.</w:t>
      </w:r>
    </w:p>
    <w:p w14:paraId="7099FEF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lastRenderedPageBreak/>
        <w:t>August 2025</w:t>
      </w:r>
      <w:r w:rsidRPr="00A110CB">
        <w:rPr>
          <w:rFonts w:ascii="Times New Roman" w:eastAsia="Times New Roman" w:hAnsi="Times New Roman" w:cs="Times New Roman"/>
          <w:sz w:val="28"/>
          <w:szCs w:val="28"/>
        </w:rPr>
        <w:t>: After reading the Sixth Circuit's opinion affirming convictions based on representations that his database showed 96% losses, Reynolds examined the live database himself and discovered the 37% actual profitability rate. He provided his second affidavit and screenshots showing the true data.</w:t>
      </w:r>
    </w:p>
    <w:p w14:paraId="5ED6DBC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Reynolds took these actions on his own initiative, not in response to defense discovery requests. The timing confirms that this evidence was unavailable during trial and could not have been discovered through reasonable diligence given the government's suppression of the database and filtering directives.</w:t>
      </w:r>
    </w:p>
    <w:p w14:paraId="73BAA5AD" w14:textId="77777777" w:rsidR="00A110CB" w:rsidRPr="00A110CB" w:rsidRDefault="00A110CB" w:rsidP="00A110CB">
      <w:pPr>
        <w:spacing w:before="100" w:beforeAutospacing="1" w:after="100" w:afterAutospacing="1" w:line="240" w:lineRule="auto"/>
        <w:outlineLvl w:val="2"/>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 xml:space="preserve">F. </w:t>
      </w:r>
      <w:proofErr w:type="spellStart"/>
      <w:r w:rsidRPr="00A110CB">
        <w:rPr>
          <w:rFonts w:ascii="Times New Roman" w:eastAsia="Times New Roman" w:hAnsi="Times New Roman" w:cs="Times New Roman"/>
          <w:b/>
          <w:bCs/>
          <w:sz w:val="28"/>
          <w:szCs w:val="28"/>
        </w:rPr>
        <w:t>Napue</w:t>
      </w:r>
      <w:proofErr w:type="spellEnd"/>
      <w:r w:rsidRPr="00A110CB">
        <w:rPr>
          <w:rFonts w:ascii="Times New Roman" w:eastAsia="Times New Roman" w:hAnsi="Times New Roman" w:cs="Times New Roman"/>
          <w:b/>
          <w:bCs/>
          <w:sz w:val="28"/>
          <w:szCs w:val="28"/>
        </w:rPr>
        <w:t xml:space="preserve"> Violation: False Testimony Went Uncorrected</w:t>
      </w:r>
    </w:p>
    <w:p w14:paraId="5A72E11F"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proofErr w:type="spellStart"/>
      <w:r w:rsidRPr="00A110CB">
        <w:rPr>
          <w:rFonts w:ascii="Times New Roman" w:eastAsia="Times New Roman" w:hAnsi="Times New Roman" w:cs="Times New Roman"/>
          <w:i/>
          <w:iCs/>
          <w:sz w:val="28"/>
          <w:szCs w:val="28"/>
        </w:rPr>
        <w:t>Napue</w:t>
      </w:r>
      <w:proofErr w:type="spellEnd"/>
      <w:r w:rsidRPr="00A110CB">
        <w:rPr>
          <w:rFonts w:ascii="Times New Roman" w:eastAsia="Times New Roman" w:hAnsi="Times New Roman" w:cs="Times New Roman"/>
          <w:i/>
          <w:iCs/>
          <w:sz w:val="28"/>
          <w:szCs w:val="28"/>
        </w:rPr>
        <w:t xml:space="preserve"> v. Illinois</w:t>
      </w:r>
      <w:r w:rsidRPr="00A110CB">
        <w:rPr>
          <w:rFonts w:ascii="Times New Roman" w:eastAsia="Times New Roman" w:hAnsi="Times New Roman" w:cs="Times New Roman"/>
          <w:sz w:val="28"/>
          <w:szCs w:val="28"/>
        </w:rPr>
        <w:t xml:space="preserve"> establishes that due process is violated when the prosecution knows or should know that testimony is false and fails to correct it. The violation occurs even if the false testimony is not perjury and even if it relates to matters collateral to guilt.</w:t>
      </w:r>
    </w:p>
    <w:p w14:paraId="0433451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Here, four government witnesses testified falsely or misleadingly:</w:t>
      </w:r>
    </w:p>
    <w:p w14:paraId="3DEE739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Jerry Reynolds</w:t>
      </w:r>
      <w:r w:rsidRPr="00A110CB">
        <w:rPr>
          <w:rFonts w:ascii="Times New Roman" w:eastAsia="Times New Roman" w:hAnsi="Times New Roman" w:cs="Times New Roman"/>
          <w:sz w:val="28"/>
          <w:szCs w:val="28"/>
        </w:rPr>
        <w:t xml:space="preserve"> testified that Exhibits 101i and 101f reflected "all participant gains and losses," "all checks," and "all purchases." In fact, the exhibits excluded $28 million in tracked commissions (73% of total) that Reynolds' own system tracked. The government directed Reynolds to filter out these categories and knew the exhibits did not reflect "all" commissions.</w:t>
      </w:r>
    </w:p>
    <w:p w14:paraId="7FD5922A"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FBI Agents McClelland and Sauber</w:t>
      </w:r>
      <w:r w:rsidRPr="00A110CB">
        <w:rPr>
          <w:rFonts w:ascii="Times New Roman" w:eastAsia="Times New Roman" w:hAnsi="Times New Roman" w:cs="Times New Roman"/>
          <w:sz w:val="28"/>
          <w:szCs w:val="28"/>
        </w:rPr>
        <w:t xml:space="preserve"> testified to commission totals and loss figures based on the filtered exhibits. They represented these figures as accurate summaries of I2G operations. The government knew or should have known that the actual totals were 73% higher.</w:t>
      </w:r>
    </w:p>
    <w:p w14:paraId="3F555071"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Dr. Keep</w:t>
      </w:r>
      <w:r w:rsidRPr="00A110CB">
        <w:rPr>
          <w:rFonts w:ascii="Times New Roman" w:eastAsia="Times New Roman" w:hAnsi="Times New Roman" w:cs="Times New Roman"/>
          <w:sz w:val="28"/>
          <w:szCs w:val="28"/>
        </w:rPr>
        <w:t xml:space="preserve"> testified that 96% to 97.3% of I2G participants lost money, basing this opinion on the filtered data. The government knew or should have known that when all tracked commissions were included, 37% of participants profited.</w:t>
      </w:r>
    </w:p>
    <w:p w14:paraId="46FBCA3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government had a duty under </w:t>
      </w:r>
      <w:proofErr w:type="spellStart"/>
      <w:r w:rsidRPr="00A110CB">
        <w:rPr>
          <w:rFonts w:ascii="Times New Roman" w:eastAsia="Times New Roman" w:hAnsi="Times New Roman" w:cs="Times New Roman"/>
          <w:i/>
          <w:iCs/>
          <w:sz w:val="28"/>
          <w:szCs w:val="28"/>
        </w:rPr>
        <w:t>Napue</w:t>
      </w:r>
      <w:proofErr w:type="spellEnd"/>
      <w:r w:rsidRPr="00A110CB">
        <w:rPr>
          <w:rFonts w:ascii="Times New Roman" w:eastAsia="Times New Roman" w:hAnsi="Times New Roman" w:cs="Times New Roman"/>
          <w:sz w:val="28"/>
          <w:szCs w:val="28"/>
        </w:rPr>
        <w:t xml:space="preserve"> to correct these false impressions. The prosecution team possessed the live database and knew what the filtering directives had excluded. Yet the government allowed the jury to rely on testimony representing the filtered data as complete and accurate.</w:t>
      </w:r>
    </w:p>
    <w:p w14:paraId="44890DD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This independent </w:t>
      </w:r>
      <w:proofErr w:type="spellStart"/>
      <w:r w:rsidRPr="00A110CB">
        <w:rPr>
          <w:rFonts w:ascii="Times New Roman" w:eastAsia="Times New Roman" w:hAnsi="Times New Roman" w:cs="Times New Roman"/>
          <w:i/>
          <w:iCs/>
          <w:sz w:val="28"/>
          <w:szCs w:val="28"/>
        </w:rPr>
        <w:t>Napue</w:t>
      </w:r>
      <w:proofErr w:type="spellEnd"/>
      <w:r w:rsidRPr="00A110CB">
        <w:rPr>
          <w:rFonts w:ascii="Times New Roman" w:eastAsia="Times New Roman" w:hAnsi="Times New Roman" w:cs="Times New Roman"/>
          <w:sz w:val="28"/>
          <w:szCs w:val="28"/>
        </w:rPr>
        <w:t xml:space="preserve"> violation warrants a new trial.</w:t>
      </w:r>
    </w:p>
    <w:p w14:paraId="58E51951" w14:textId="77777777" w:rsidR="00A110CB" w:rsidRPr="00A110CB" w:rsidRDefault="00A110CB" w:rsidP="00A110CB">
      <w:pPr>
        <w:spacing w:after="0"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lastRenderedPageBreak/>
        <w:pict w14:anchorId="7D2827F5">
          <v:rect id="_x0000_i1032" style="width:0;height:1.5pt" o:hralign="center" o:hrstd="t" o:hr="t" fillcolor="#a0a0a0" stroked="f"/>
        </w:pict>
      </w:r>
    </w:p>
    <w:p w14:paraId="6809304F" w14:textId="77777777" w:rsidR="00A110CB" w:rsidRPr="00A110CB" w:rsidRDefault="00A110CB" w:rsidP="00A110CB">
      <w:pPr>
        <w:spacing w:before="100" w:beforeAutospacing="1" w:after="100" w:afterAutospacing="1" w:line="240" w:lineRule="auto"/>
        <w:outlineLvl w:val="1"/>
        <w:rPr>
          <w:rFonts w:ascii="Times New Roman" w:eastAsia="Times New Roman" w:hAnsi="Times New Roman" w:cs="Times New Roman"/>
          <w:b/>
          <w:bCs/>
          <w:sz w:val="28"/>
          <w:szCs w:val="28"/>
        </w:rPr>
      </w:pPr>
      <w:r w:rsidRPr="00A110CB">
        <w:rPr>
          <w:rFonts w:ascii="Times New Roman" w:eastAsia="Times New Roman" w:hAnsi="Times New Roman" w:cs="Times New Roman"/>
          <w:b/>
          <w:bCs/>
          <w:sz w:val="28"/>
          <w:szCs w:val="28"/>
        </w:rPr>
        <w:t>VI. CONCLUSION</w:t>
      </w:r>
    </w:p>
    <w:p w14:paraId="438F388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Ms. Hosseinipour was convicted based on a quantitatively false narrative that 96% of I2G participants lost money and that total commissions were approximately $9.5 million. Newly discovered evidence proves:</w:t>
      </w:r>
    </w:p>
    <w:p w14:paraId="6877F66B" w14:textId="77777777" w:rsidR="00A110CB" w:rsidRPr="00A110CB" w:rsidRDefault="00A110CB" w:rsidP="00A110CB">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37% of participants were profitable (not 4%)</w:t>
      </w:r>
    </w:p>
    <w:p w14:paraId="5D35583C" w14:textId="77777777" w:rsidR="00A110CB" w:rsidRPr="00A110CB" w:rsidRDefault="00A110CB" w:rsidP="00A110CB">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Total commissions exceeded $38 million (not $9.5 million)</w:t>
      </w:r>
    </w:p>
    <w:p w14:paraId="6286EF2E" w14:textId="77777777" w:rsidR="00A110CB" w:rsidRPr="00A110CB" w:rsidRDefault="00A110CB" w:rsidP="00A110CB">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Over $28 million in tracked commissions were systematically filtered out of trial exhibits</w:t>
      </w:r>
    </w:p>
    <w:p w14:paraId="6D929B70" w14:textId="77777777" w:rsidR="00A110CB" w:rsidRPr="00A110CB" w:rsidRDefault="00A110CB" w:rsidP="00A110CB">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Key alleged "victims" like </w:t>
      </w:r>
      <w:proofErr w:type="spellStart"/>
      <w:r w:rsidRPr="00A110CB">
        <w:rPr>
          <w:rFonts w:ascii="Times New Roman" w:eastAsia="Times New Roman" w:hAnsi="Times New Roman" w:cs="Times New Roman"/>
          <w:sz w:val="28"/>
          <w:szCs w:val="28"/>
        </w:rPr>
        <w:t>Queyenne</w:t>
      </w:r>
      <w:proofErr w:type="spellEnd"/>
      <w:r w:rsidRPr="00A110CB">
        <w:rPr>
          <w:rFonts w:ascii="Times New Roman" w:eastAsia="Times New Roman" w:hAnsi="Times New Roman" w:cs="Times New Roman"/>
          <w:sz w:val="28"/>
          <w:szCs w:val="28"/>
        </w:rPr>
        <w:t xml:space="preserve"> Pepito, Michelle Kim, and Shin </w:t>
      </w:r>
      <w:proofErr w:type="spellStart"/>
      <w:r w:rsidRPr="00A110CB">
        <w:rPr>
          <w:rFonts w:ascii="Times New Roman" w:eastAsia="Times New Roman" w:hAnsi="Times New Roman" w:cs="Times New Roman"/>
          <w:sz w:val="28"/>
          <w:szCs w:val="28"/>
        </w:rPr>
        <w:t>Jeong</w:t>
      </w:r>
      <w:proofErr w:type="spellEnd"/>
      <w:r w:rsidRPr="00A110CB">
        <w:rPr>
          <w:rFonts w:ascii="Times New Roman" w:eastAsia="Times New Roman" w:hAnsi="Times New Roman" w:cs="Times New Roman"/>
          <w:sz w:val="28"/>
          <w:szCs w:val="28"/>
        </w:rPr>
        <w:t xml:space="preserve"> were actually profitable</w:t>
      </w:r>
    </w:p>
    <w:p w14:paraId="2C620ED3" w14:textId="77777777" w:rsidR="00A110CB" w:rsidRPr="00A110CB" w:rsidRDefault="00A110CB" w:rsidP="00A110CB">
      <w:pPr>
        <w:numPr>
          <w:ilvl w:val="0"/>
          <w:numId w:val="24"/>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95% of Ms. </w:t>
      </w:r>
      <w:proofErr w:type="spellStart"/>
      <w:r w:rsidRPr="00A110CB">
        <w:rPr>
          <w:rFonts w:ascii="Times New Roman" w:eastAsia="Times New Roman" w:hAnsi="Times New Roman" w:cs="Times New Roman"/>
          <w:sz w:val="28"/>
          <w:szCs w:val="28"/>
        </w:rPr>
        <w:t>Hosseinipour's</w:t>
      </w:r>
      <w:proofErr w:type="spellEnd"/>
      <w:r w:rsidRPr="00A110CB">
        <w:rPr>
          <w:rFonts w:ascii="Times New Roman" w:eastAsia="Times New Roman" w:hAnsi="Times New Roman" w:cs="Times New Roman"/>
          <w:sz w:val="28"/>
          <w:szCs w:val="28"/>
        </w:rPr>
        <w:t xml:space="preserve"> personally sponsored team members were profitable</w:t>
      </w:r>
    </w:p>
    <w:p w14:paraId="48DF874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government possessed the live, </w:t>
      </w:r>
      <w:proofErr w:type="spellStart"/>
      <w:r w:rsidRPr="00A110CB">
        <w:rPr>
          <w:rFonts w:ascii="Times New Roman" w:eastAsia="Times New Roman" w:hAnsi="Times New Roman" w:cs="Times New Roman"/>
          <w:sz w:val="28"/>
          <w:szCs w:val="28"/>
        </w:rPr>
        <w:t>queryable</w:t>
      </w:r>
      <w:proofErr w:type="spellEnd"/>
      <w:r w:rsidRPr="00A110CB">
        <w:rPr>
          <w:rFonts w:ascii="Times New Roman" w:eastAsia="Times New Roman" w:hAnsi="Times New Roman" w:cs="Times New Roman"/>
          <w:sz w:val="28"/>
          <w:szCs w:val="28"/>
        </w:rPr>
        <w:t xml:space="preserve"> I2G database that would have instantly revealed these facts. The prosecution team directed filtering through subpoena instructions that systematically excluded the exculpatory evidence. This evidence was suppressed in violation of </w:t>
      </w: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i/>
          <w:iCs/>
          <w:sz w:val="28"/>
          <w:szCs w:val="28"/>
        </w:rPr>
        <w:t>Giglio</w:t>
      </w:r>
      <w:r w:rsidRPr="00A110CB">
        <w:rPr>
          <w:rFonts w:ascii="Times New Roman" w:eastAsia="Times New Roman" w:hAnsi="Times New Roman" w:cs="Times New Roman"/>
          <w:sz w:val="28"/>
          <w:szCs w:val="28"/>
        </w:rPr>
        <w:t xml:space="preserve">, </w:t>
      </w:r>
      <w:r w:rsidRPr="00A110CB">
        <w:rPr>
          <w:rFonts w:ascii="Times New Roman" w:eastAsia="Times New Roman" w:hAnsi="Times New Roman" w:cs="Times New Roman"/>
          <w:i/>
          <w:iCs/>
          <w:sz w:val="28"/>
          <w:szCs w:val="28"/>
        </w:rPr>
        <w:t>Bagley</w:t>
      </w:r>
      <w:r w:rsidRPr="00A110CB">
        <w:rPr>
          <w:rFonts w:ascii="Times New Roman" w:eastAsia="Times New Roman" w:hAnsi="Times New Roman" w:cs="Times New Roman"/>
          <w:sz w:val="28"/>
          <w:szCs w:val="28"/>
        </w:rPr>
        <w:t xml:space="preserve">, and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w:t>
      </w:r>
    </w:p>
    <w:p w14:paraId="425655DC"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Four government witnesses testified falsely that the trial exhibits reflected "all" participants, "all" commissions, and "all" data within the charged period. The government's failure to correct this false testimony violated </w:t>
      </w:r>
      <w:proofErr w:type="spellStart"/>
      <w:r w:rsidRPr="00A110CB">
        <w:rPr>
          <w:rFonts w:ascii="Times New Roman" w:eastAsia="Times New Roman" w:hAnsi="Times New Roman" w:cs="Times New Roman"/>
          <w:i/>
          <w:iCs/>
          <w:sz w:val="28"/>
          <w:szCs w:val="28"/>
        </w:rPr>
        <w:t>Napue</w:t>
      </w:r>
      <w:proofErr w:type="spellEnd"/>
      <w:r w:rsidRPr="00A110CB">
        <w:rPr>
          <w:rFonts w:ascii="Times New Roman" w:eastAsia="Times New Roman" w:hAnsi="Times New Roman" w:cs="Times New Roman"/>
          <w:sz w:val="28"/>
          <w:szCs w:val="28"/>
        </w:rPr>
        <w:t>.</w:t>
      </w:r>
    </w:p>
    <w:p w14:paraId="0528BE4E"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newly discovered evidence independently warrants a new trial under Rule 33. It is material, not cumulative or merely impeaching. It could not have been discovered earlier through reasonable diligence given the government's suppression. It would likely produce an acquittal because it dismantles the quantitative foundation of the government's pyramid scheme theory.</w:t>
      </w:r>
    </w:p>
    <w:p w14:paraId="07196099"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suppression of this evidence violates due process. Under </w:t>
      </w:r>
      <w:r w:rsidRPr="00A110CB">
        <w:rPr>
          <w:rFonts w:ascii="Times New Roman" w:eastAsia="Times New Roman" w:hAnsi="Times New Roman" w:cs="Times New Roman"/>
          <w:i/>
          <w:iCs/>
          <w:sz w:val="28"/>
          <w:szCs w:val="28"/>
        </w:rPr>
        <w:t>Kyles</w:t>
      </w:r>
      <w:r w:rsidRPr="00A110CB">
        <w:rPr>
          <w:rFonts w:ascii="Times New Roman" w:eastAsia="Times New Roman" w:hAnsi="Times New Roman" w:cs="Times New Roman"/>
          <w:sz w:val="28"/>
          <w:szCs w:val="28"/>
        </w:rPr>
        <w:t>' cumulative assessment, the combined effect of suppressing the live database, the filtering directives, and the "All Commissions" data creates far more than a reasonable probability of a different result. It fundamentally undermines confidence in the verdict.</w:t>
      </w:r>
    </w:p>
    <w:p w14:paraId="739B922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 xml:space="preserve">The interests of justice require a new trial. The Sixth Circuit has already recognized substantial concerns in this case and remanded for reconsideration. The newly discovered evidence confirms that those concerns were well-founded and </w:t>
      </w:r>
      <w:r w:rsidRPr="00A110CB">
        <w:rPr>
          <w:rFonts w:ascii="Times New Roman" w:eastAsia="Times New Roman" w:hAnsi="Times New Roman" w:cs="Times New Roman"/>
          <w:sz w:val="28"/>
          <w:szCs w:val="28"/>
        </w:rPr>
        <w:lastRenderedPageBreak/>
        <w:t>that Ms. Hosseinipour was convicted on materially false evidence while exculpatory proof was suppressed.</w:t>
      </w:r>
    </w:p>
    <w:p w14:paraId="324250A3"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WHEREFORE</w:t>
      </w:r>
      <w:r w:rsidRPr="00A110CB">
        <w:rPr>
          <w:rFonts w:ascii="Times New Roman" w:eastAsia="Times New Roman" w:hAnsi="Times New Roman" w:cs="Times New Roman"/>
          <w:sz w:val="28"/>
          <w:szCs w:val="28"/>
        </w:rPr>
        <w:t>, Ms. Hosseinipour respectfully requests that this Court:</w:t>
      </w:r>
    </w:p>
    <w:p w14:paraId="351C43E0" w14:textId="77777777" w:rsidR="00A110CB" w:rsidRPr="00A110CB" w:rsidRDefault="00A110CB" w:rsidP="00A110CB">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Grant her motion for a new trial</w:t>
      </w:r>
      <w:r w:rsidRPr="00A110CB">
        <w:rPr>
          <w:rFonts w:ascii="Times New Roman" w:eastAsia="Times New Roman" w:hAnsi="Times New Roman" w:cs="Times New Roman"/>
          <w:sz w:val="28"/>
          <w:szCs w:val="28"/>
        </w:rPr>
        <w:t xml:space="preserve"> based on newly discovered evidence and </w:t>
      </w:r>
      <w:r w:rsidRPr="00A110CB">
        <w:rPr>
          <w:rFonts w:ascii="Times New Roman" w:eastAsia="Times New Roman" w:hAnsi="Times New Roman" w:cs="Times New Roman"/>
          <w:i/>
          <w:iCs/>
          <w:sz w:val="28"/>
          <w:szCs w:val="28"/>
        </w:rPr>
        <w:t>Brady</w:t>
      </w:r>
      <w:r w:rsidRPr="00A110CB">
        <w:rPr>
          <w:rFonts w:ascii="Times New Roman" w:eastAsia="Times New Roman" w:hAnsi="Times New Roman" w:cs="Times New Roman"/>
          <w:sz w:val="28"/>
          <w:szCs w:val="28"/>
        </w:rPr>
        <w:t xml:space="preserve"> violations; or in the alternative,</w:t>
      </w:r>
    </w:p>
    <w:p w14:paraId="1864A6DE" w14:textId="77777777" w:rsidR="00A110CB" w:rsidRPr="00A110CB" w:rsidRDefault="00A110CB" w:rsidP="00A110CB">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Order an evidentiary hearing</w:t>
      </w:r>
      <w:r w:rsidRPr="00A110CB">
        <w:rPr>
          <w:rFonts w:ascii="Times New Roman" w:eastAsia="Times New Roman" w:hAnsi="Times New Roman" w:cs="Times New Roman"/>
          <w:sz w:val="28"/>
          <w:szCs w:val="28"/>
        </w:rPr>
        <w:t xml:space="preserve"> to examine:</w:t>
      </w:r>
    </w:p>
    <w:p w14:paraId="686258DB" w14:textId="77777777" w:rsidR="00A110CB" w:rsidRPr="00A110CB" w:rsidRDefault="00A110CB" w:rsidP="00A110CB">
      <w:pPr>
        <w:numPr>
          <w:ilvl w:val="1"/>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prosecution team's possession of and access to the live I2G database</w:t>
      </w:r>
    </w:p>
    <w:p w14:paraId="1FF7AAF8" w14:textId="77777777" w:rsidR="00A110CB" w:rsidRPr="00A110CB" w:rsidRDefault="00A110CB" w:rsidP="00A110CB">
      <w:pPr>
        <w:numPr>
          <w:ilvl w:val="1"/>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government's filtering directives and their effect on trial exhibits</w:t>
      </w:r>
    </w:p>
    <w:p w14:paraId="7B66A4A9" w14:textId="77777777" w:rsidR="00A110CB" w:rsidRPr="00A110CB" w:rsidRDefault="00A110CB" w:rsidP="00A110CB">
      <w:pPr>
        <w:numPr>
          <w:ilvl w:val="1"/>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scope of commissions and data excluded from trial exhibits</w:t>
      </w:r>
    </w:p>
    <w:p w14:paraId="2BC7ECEB" w14:textId="77777777" w:rsidR="00A110CB" w:rsidRPr="00A110CB" w:rsidRDefault="00A110CB" w:rsidP="00A110CB">
      <w:pPr>
        <w:numPr>
          <w:ilvl w:val="1"/>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material divergence between the filtered trial data and the complete database</w:t>
      </w:r>
    </w:p>
    <w:p w14:paraId="2FD8C139" w14:textId="77777777" w:rsidR="00A110CB" w:rsidRPr="00A110CB" w:rsidRDefault="00A110CB" w:rsidP="00A110CB">
      <w:pPr>
        <w:numPr>
          <w:ilvl w:val="1"/>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interaction of these due process violations with the ineffective assistance issues the Sixth Circuit identified</w:t>
      </w:r>
    </w:p>
    <w:p w14:paraId="297976FC" w14:textId="77777777" w:rsidR="00A110CB" w:rsidRPr="00A110CB" w:rsidRDefault="00A110CB" w:rsidP="00A110CB">
      <w:pPr>
        <w:numPr>
          <w:ilvl w:val="0"/>
          <w:numId w:val="25"/>
        </w:num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b/>
          <w:bCs/>
          <w:sz w:val="28"/>
          <w:szCs w:val="28"/>
        </w:rPr>
        <w:t>Grant such other relief</w:t>
      </w:r>
      <w:r w:rsidRPr="00A110CB">
        <w:rPr>
          <w:rFonts w:ascii="Times New Roman" w:eastAsia="Times New Roman" w:hAnsi="Times New Roman" w:cs="Times New Roman"/>
          <w:sz w:val="28"/>
          <w:szCs w:val="28"/>
        </w:rPr>
        <w:t xml:space="preserve"> as the Court deems just and proper.</w:t>
      </w:r>
    </w:p>
    <w:p w14:paraId="33D65BC4" w14:textId="77777777" w:rsidR="00A110CB" w:rsidRPr="00A110CB" w:rsidRDefault="00A110CB" w:rsidP="00A110CB">
      <w:pPr>
        <w:spacing w:before="100" w:beforeAutospacing="1" w:after="100" w:afterAutospacing="1" w:line="240" w:lineRule="auto"/>
        <w:rPr>
          <w:rFonts w:ascii="Times New Roman" w:eastAsia="Times New Roman" w:hAnsi="Times New Roman" w:cs="Times New Roman"/>
          <w:sz w:val="28"/>
          <w:szCs w:val="28"/>
        </w:rPr>
      </w:pPr>
      <w:r w:rsidRPr="00A110CB">
        <w:rPr>
          <w:rFonts w:ascii="Times New Roman" w:eastAsia="Times New Roman" w:hAnsi="Times New Roman" w:cs="Times New Roman"/>
          <w:sz w:val="28"/>
          <w:szCs w:val="28"/>
        </w:rPr>
        <w:t>The Constitution does not tolerate convictions secured on false evidence while</w:t>
      </w:r>
    </w:p>
    <w:p w14:paraId="6367FC6F" w14:textId="77777777" w:rsidR="001A3BCE" w:rsidRPr="00A110CB" w:rsidRDefault="001A3BCE">
      <w:pPr>
        <w:rPr>
          <w:sz w:val="28"/>
          <w:szCs w:val="28"/>
        </w:rPr>
      </w:pPr>
    </w:p>
    <w:sectPr w:rsidR="001A3BCE" w:rsidRPr="00A11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BA9"/>
    <w:multiLevelType w:val="multilevel"/>
    <w:tmpl w:val="17520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195D50"/>
    <w:multiLevelType w:val="multilevel"/>
    <w:tmpl w:val="0644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A718E"/>
    <w:multiLevelType w:val="multilevel"/>
    <w:tmpl w:val="594AD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5B105C"/>
    <w:multiLevelType w:val="multilevel"/>
    <w:tmpl w:val="B7F8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A4363"/>
    <w:multiLevelType w:val="multilevel"/>
    <w:tmpl w:val="D45A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F4808"/>
    <w:multiLevelType w:val="multilevel"/>
    <w:tmpl w:val="2288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76007"/>
    <w:multiLevelType w:val="multilevel"/>
    <w:tmpl w:val="4B768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B6063A"/>
    <w:multiLevelType w:val="multilevel"/>
    <w:tmpl w:val="0412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E60E17"/>
    <w:multiLevelType w:val="multilevel"/>
    <w:tmpl w:val="5D1A3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03313"/>
    <w:multiLevelType w:val="multilevel"/>
    <w:tmpl w:val="5AE4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3A12EA"/>
    <w:multiLevelType w:val="multilevel"/>
    <w:tmpl w:val="9C84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6E44FE"/>
    <w:multiLevelType w:val="multilevel"/>
    <w:tmpl w:val="F428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C21E5D"/>
    <w:multiLevelType w:val="multilevel"/>
    <w:tmpl w:val="23D8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EF509F"/>
    <w:multiLevelType w:val="multilevel"/>
    <w:tmpl w:val="6DB2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9215D3"/>
    <w:multiLevelType w:val="multilevel"/>
    <w:tmpl w:val="03A63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B65515"/>
    <w:multiLevelType w:val="multilevel"/>
    <w:tmpl w:val="7662F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C96AAD"/>
    <w:multiLevelType w:val="multilevel"/>
    <w:tmpl w:val="7F9C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247402"/>
    <w:multiLevelType w:val="multilevel"/>
    <w:tmpl w:val="8988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AC5769"/>
    <w:multiLevelType w:val="multilevel"/>
    <w:tmpl w:val="1FCE7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EE1550"/>
    <w:multiLevelType w:val="multilevel"/>
    <w:tmpl w:val="AA32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033FC"/>
    <w:multiLevelType w:val="multilevel"/>
    <w:tmpl w:val="0E6ED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B617B4"/>
    <w:multiLevelType w:val="multilevel"/>
    <w:tmpl w:val="F0D2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ED475C"/>
    <w:multiLevelType w:val="multilevel"/>
    <w:tmpl w:val="C1AC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AF07AA"/>
    <w:multiLevelType w:val="multilevel"/>
    <w:tmpl w:val="5C56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4E33E4"/>
    <w:multiLevelType w:val="multilevel"/>
    <w:tmpl w:val="C2AC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9"/>
  </w:num>
  <w:num w:numId="4">
    <w:abstractNumId w:val="0"/>
  </w:num>
  <w:num w:numId="5">
    <w:abstractNumId w:val="6"/>
  </w:num>
  <w:num w:numId="6">
    <w:abstractNumId w:val="11"/>
  </w:num>
  <w:num w:numId="7">
    <w:abstractNumId w:val="2"/>
  </w:num>
  <w:num w:numId="8">
    <w:abstractNumId w:val="4"/>
  </w:num>
  <w:num w:numId="9">
    <w:abstractNumId w:val="20"/>
  </w:num>
  <w:num w:numId="10">
    <w:abstractNumId w:val="17"/>
  </w:num>
  <w:num w:numId="11">
    <w:abstractNumId w:val="18"/>
  </w:num>
  <w:num w:numId="12">
    <w:abstractNumId w:val="13"/>
  </w:num>
  <w:num w:numId="13">
    <w:abstractNumId w:val="16"/>
  </w:num>
  <w:num w:numId="14">
    <w:abstractNumId w:val="15"/>
  </w:num>
  <w:num w:numId="15">
    <w:abstractNumId w:val="12"/>
  </w:num>
  <w:num w:numId="16">
    <w:abstractNumId w:val="1"/>
  </w:num>
  <w:num w:numId="17">
    <w:abstractNumId w:val="23"/>
  </w:num>
  <w:num w:numId="18">
    <w:abstractNumId w:val="5"/>
  </w:num>
  <w:num w:numId="19">
    <w:abstractNumId w:val="22"/>
  </w:num>
  <w:num w:numId="20">
    <w:abstractNumId w:val="21"/>
  </w:num>
  <w:num w:numId="21">
    <w:abstractNumId w:val="8"/>
  </w:num>
  <w:num w:numId="22">
    <w:abstractNumId w:val="3"/>
  </w:num>
  <w:num w:numId="23">
    <w:abstractNumId w:val="24"/>
  </w:num>
  <w:num w:numId="24">
    <w:abstractNumId w:val="19"/>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CB"/>
    <w:rsid w:val="001A3BCE"/>
    <w:rsid w:val="00473C6D"/>
    <w:rsid w:val="009A0E10"/>
    <w:rsid w:val="00A110CB"/>
    <w:rsid w:val="00BA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68573"/>
  <w15:chartTrackingRefBased/>
  <w15:docId w15:val="{61B40034-3ACD-473A-90C4-32BBA6F4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21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4882</Words>
  <Characters>29027</Characters>
  <Application>Microsoft Office Word</Application>
  <DocSecurity>0</DocSecurity>
  <Lines>376</Lines>
  <Paragraphs>112</Paragraphs>
  <ScaleCrop>false</ScaleCrop>
  <Company/>
  <LinksUpToDate>false</LinksUpToDate>
  <CharactersWithSpaces>33797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Faraday Hosseinipour</dc:creator>
  <cp:keywords/>
  <dc:description/>
  <cp:lastModifiedBy>Faraday Hosseinipour</cp:lastModifiedBy>
  <cp:revision>1</cp:revision>
  <dcterms:created xsi:type="dcterms:W3CDTF">2025-10-07T02:57:00Z</dcterms:created>
  <dcterms:modified xsi:type="dcterms:W3CDTF">2025-10-07T02:59:00Z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c5d642f8-d3d1-45fe-99fc-b4e50d31ed6f</vt:lpwstr>
  </property>
</Properties>
</file>