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ind w:left="720" w:hanging="720"/>
        <w:jc w:val="both"/>
        <w:rPr>
          <w:rFonts w:ascii="Century Schoolbook" w:hAnsi="Century Schoolbook" w:cs="Times New Roman"/>
          <w:b/>
          <w:sz w:val="28"/>
          <w:szCs w:val="28"/>
        </w:rPr>
      </w:pPr>
      <w:r>
        <w:rPr>
          <w:rFonts w:ascii="Century Schoolbook" w:hAnsi="Century Schoolbook" w:cs="Times New Roman"/>
          <w:b/>
          <w:sz w:val="28"/>
          <w:szCs w:val="28"/>
        </w:rPr>
        <w:t>X.</w:t>
      </w:r>
      <w:r>
        <w:rPr>
          <w:rFonts w:ascii="Century Schoolbook" w:hAnsi="Century Schoolbook" w:cs="Times New Roman"/>
          <w:b/>
          <w:sz w:val="28"/>
          <w:szCs w:val="28"/>
        </w:rPr>
        <w:tab/>
        <w:t>THE SECURITIES FRAUD CONSPIRACY CONVICTION SHOULD BE REVERSED.</w:t>
      </w:r>
    </w:p>
    <w:p>
      <w:pPr>
        <w:autoSpaceDE w:val="0"/>
        <w:autoSpaceDN w:val="0"/>
        <w:adjustRightInd w:val="0"/>
        <w:spacing w:after="0" w:line="240" w:lineRule="auto"/>
        <w:ind w:left="720" w:hanging="720"/>
        <w:jc w:val="both"/>
        <w:rPr>
          <w:rFonts w:ascii="Century Schoolbook" w:hAnsi="Century Schoolbook" w:cs="Times New Roman"/>
          <w:b/>
          <w:sz w:val="28"/>
          <w:szCs w:val="28"/>
        </w:rPr>
      </w:pPr>
    </w:p>
    <w:p>
      <w:pPr>
        <w:autoSpaceDE w:val="0"/>
        <w:autoSpaceDN w:val="0"/>
        <w:adjustRightInd w:val="0"/>
        <w:spacing w:after="0" w:line="240" w:lineRule="auto"/>
        <w:ind w:left="1440" w:hanging="720"/>
        <w:jc w:val="both"/>
        <w:rPr>
          <w:rFonts w:ascii="Century Schoolbook" w:hAnsi="Century Schoolbook" w:cs="Times New Roman"/>
          <w:b/>
          <w:sz w:val="28"/>
          <w:szCs w:val="28"/>
        </w:rPr>
      </w:pPr>
      <w:r>
        <w:rPr>
          <w:rFonts w:ascii="Century Schoolbook" w:hAnsi="Century Schoolbook" w:cs="Times New Roman"/>
          <w:b/>
          <w:sz w:val="28"/>
          <w:szCs w:val="28"/>
        </w:rPr>
        <w:t>A.</w:t>
      </w:r>
      <w:r>
        <w:rPr>
          <w:rFonts w:ascii="Century Schoolbook" w:hAnsi="Century Schoolbook" w:cs="Times New Roman"/>
          <w:b/>
          <w:sz w:val="28"/>
          <w:szCs w:val="28"/>
        </w:rPr>
        <w:tab/>
        <w:t>The jury instruction failed to require a finding of an overt act charged in the Indictment.</w:t>
      </w:r>
    </w:p>
    <w:p>
      <w:pPr>
        <w:autoSpaceDE w:val="0"/>
        <w:autoSpaceDN w:val="0"/>
        <w:adjustRightInd w:val="0"/>
        <w:spacing w:after="0" w:line="240" w:lineRule="auto"/>
        <w:ind w:left="1440" w:hanging="720"/>
        <w:jc w:val="both"/>
        <w:rPr>
          <w:rFonts w:ascii="Century Schoolbook" w:hAnsi="Century Schoolbook" w:cs="Times New Roman"/>
          <w:b/>
          <w:sz w:val="28"/>
          <w:szCs w:val="28"/>
        </w:rPr>
      </w:pPr>
    </w:p>
    <w:p>
      <w:pPr>
        <w:spacing w:after="0" w:line="480" w:lineRule="auto"/>
        <w:jc w:val="both"/>
        <w:rPr>
          <w:rFonts w:ascii="Century Schoolbook" w:eastAsia="Times New Roman" w:hAnsi="Century Schoolbook" w:cs="Times New Roman"/>
          <w:sz w:val="28"/>
          <w:szCs w:val="28"/>
        </w:rPr>
      </w:pPr>
      <w:r>
        <w:rPr>
          <w:rFonts w:ascii="Century Schoolbook" w:hAnsi="Century Schoolbook" w:cs="Times New Roman"/>
          <w:b/>
          <w:sz w:val="28"/>
          <w:szCs w:val="28"/>
        </w:rPr>
        <w:t xml:space="preserve"> </w:t>
      </w:r>
      <w:r>
        <w:rPr>
          <w:rFonts w:ascii="Century Schoolbook" w:hAnsi="Century Schoolbook" w:cs="Times New Roman"/>
          <w:b/>
          <w:sz w:val="28"/>
          <w:szCs w:val="28"/>
        </w:rPr>
        <w:tab/>
      </w:r>
      <w:r>
        <w:rPr>
          <w:rFonts w:ascii="Century Schoolbook" w:hAnsi="Century Schoolbook" w:cs="Times New Roman"/>
          <w:sz w:val="28"/>
          <w:szCs w:val="28"/>
        </w:rPr>
        <w:t xml:space="preserve">To convict on Count 13, the jury was required to find that member of the conspiracy committed one of the overt acts charged in the Indictment. </w:t>
      </w:r>
      <w:r>
        <w:rPr>
          <w:rFonts w:ascii="Century Schoolbook" w:hAnsi="Century Schoolbook" w:cs="Times New Roman"/>
          <w:i/>
          <w:sz w:val="28"/>
          <w:szCs w:val="28"/>
        </w:rPr>
        <w:t xml:space="preserve">See </w:t>
      </w:r>
      <w:r>
        <w:rPr>
          <w:rFonts w:ascii="Century Schoolbook" w:eastAsia="Times New Roman" w:hAnsi="Century Schoolbook" w:cs="Times New Roman"/>
          <w:sz w:val="28"/>
          <w:szCs w:val="28"/>
        </w:rPr>
        <w:t>Sixth Circ</w:t>
      </w:r>
      <w:r>
        <w:rPr>
          <w:rFonts w:ascii="Century Schoolbook" w:eastAsia="Times New Roman" w:hAnsi="Century Schoolbook" w:cs="Times New Roman"/>
          <w:sz w:val="28"/>
          <w:szCs w:val="28"/>
        </w:rPr>
        <w:t xml:space="preserve">uit Pattern Jury Instruction 304; </w:t>
      </w:r>
      <w:r>
        <w:rPr>
          <w:rFonts w:ascii="Century Schoolbook" w:eastAsia="Times New Roman" w:hAnsi="Century Schoolbook" w:cs="Times New Roman"/>
          <w:i/>
          <w:sz w:val="28"/>
          <w:szCs w:val="28"/>
        </w:rPr>
        <w:t>Brown v. Elliott</w:t>
      </w:r>
      <w:r>
        <w:rPr>
          <w:rFonts w:ascii="Century Schoolbook" w:eastAsia="Times New Roman" w:hAnsi="Century Schoolbook" w:cs="Times New Roman"/>
          <w:sz w:val="28"/>
          <w:szCs w:val="28"/>
        </w:rPr>
        <w:t>, 225 U.S. 392, 401 (1912</w:t>
      </w:r>
      <w:proofErr w:type="gramStart"/>
      <w:r>
        <w:rPr>
          <w:rFonts w:ascii="Century Schoolbook" w:eastAsia="Times New Roman" w:hAnsi="Century Schoolbook" w:cs="Times New Roman"/>
          <w:sz w:val="28"/>
          <w:szCs w:val="28"/>
        </w:rPr>
        <w:t>)</w:t>
      </w:r>
      <w:r>
        <w:rPr>
          <w:rFonts w:ascii="Century Schoolbook" w:eastAsia="Times New Roman" w:hAnsi="Century Schoolbook" w:cs="Times New Roman"/>
          <w:sz w:val="28"/>
          <w:szCs w:val="28"/>
        </w:rPr>
        <w:t>(</w:t>
      </w:r>
      <w:proofErr w:type="gramEnd"/>
      <w:r>
        <w:rPr>
          <w:rFonts w:ascii="Century Schoolbook" w:eastAsia="Times New Roman" w:hAnsi="Century Schoolbook" w:cs="Times New Roman"/>
          <w:sz w:val="28"/>
          <w:szCs w:val="28"/>
        </w:rPr>
        <w:t>“</w:t>
      </w:r>
      <w:r>
        <w:rPr>
          <w:rFonts w:ascii="Century Schoolbook" w:eastAsia="Times New Roman" w:hAnsi="Century Schoolbook" w:cs="Times New Roman"/>
          <w:sz w:val="28"/>
          <w:szCs w:val="28"/>
        </w:rPr>
        <w:t>[T]he period of limitation must be comput</w:t>
      </w:r>
      <w:r>
        <w:rPr>
          <w:rFonts w:ascii="Century Schoolbook" w:eastAsia="Times New Roman" w:hAnsi="Century Schoolbook" w:cs="Times New Roman"/>
          <w:sz w:val="28"/>
          <w:szCs w:val="28"/>
        </w:rPr>
        <w:t xml:space="preserve">ed from the date of the last </w:t>
      </w:r>
      <w:r>
        <w:rPr>
          <w:rFonts w:ascii="Century Schoolbook" w:eastAsia="Times New Roman" w:hAnsi="Century Schoolbook" w:cs="Times New Roman"/>
          <w:sz w:val="28"/>
          <w:szCs w:val="28"/>
        </w:rPr>
        <w:t xml:space="preserve">[overt act] of which there is appropriate </w:t>
      </w:r>
      <w:r>
        <w:rPr>
          <w:rFonts w:ascii="Century Schoolbook" w:eastAsia="Times New Roman" w:hAnsi="Century Schoolbook" w:cs="Times New Roman"/>
          <w:sz w:val="28"/>
          <w:szCs w:val="28"/>
          <w:u w:val="single"/>
        </w:rPr>
        <w:t>allegation</w:t>
      </w:r>
      <w:r>
        <w:rPr>
          <w:rFonts w:ascii="Century Schoolbook" w:eastAsia="Times New Roman" w:hAnsi="Century Schoolbook" w:cs="Times New Roman"/>
          <w:sz w:val="28"/>
          <w:szCs w:val="28"/>
        </w:rPr>
        <w:t xml:space="preserve"> and proof</w:t>
      </w:r>
      <w:r>
        <w:rPr>
          <w:rFonts w:ascii="Century Schoolbook" w:eastAsia="Times New Roman" w:hAnsi="Century Schoolbook" w:cs="Times New Roman"/>
          <w:sz w:val="28"/>
          <w:szCs w:val="28"/>
        </w:rPr>
        <w:t>….”)(emphasis added).</w:t>
      </w:r>
    </w:p>
    <w:p>
      <w:pPr>
        <w:spacing w:after="0" w:line="480" w:lineRule="auto"/>
        <w:ind w:firstLine="720"/>
        <w:jc w:val="both"/>
        <w:rPr>
          <w:rFonts w:ascii="Century Schoolbook" w:eastAsia="Times New Roman" w:hAnsi="Century Schoolbook" w:cs="Times New Roman"/>
          <w:sz w:val="28"/>
          <w:szCs w:val="28"/>
        </w:rPr>
      </w:pPr>
      <w:r>
        <w:rPr>
          <w:rFonts w:ascii="Century Schoolbook" w:eastAsia="Times New Roman" w:hAnsi="Century Schoolbook" w:cs="Times New Roman"/>
          <w:sz w:val="28"/>
          <w:szCs w:val="28"/>
        </w:rPr>
        <w:t>Before trial, Defendants moved to dismiss Count 13 because it failed to include any overt acts.</w:t>
      </w:r>
      <w:r>
        <w:rPr>
          <w:rStyle w:val="FootnoteReference"/>
          <w:rFonts w:ascii="Century Schoolbook" w:eastAsia="Times New Roman" w:hAnsi="Century Schoolbook" w:cs="Times New Roman"/>
          <w:sz w:val="28"/>
          <w:szCs w:val="28"/>
        </w:rPr>
        <w:footnoteReference w:id="1"/>
      </w:r>
      <w:r>
        <w:rPr>
          <w:rFonts w:ascii="Century Schoolbook" w:eastAsia="Times New Roman" w:hAnsi="Century Schoolbook" w:cs="Times New Roman"/>
          <w:sz w:val="28"/>
          <w:szCs w:val="28"/>
        </w:rPr>
        <w:t xml:space="preserve"> The court denied the motion and held that paragraph 40 of the Indictment contained the following overt acts: “It specifically lists 20 individuals who were allegedly defrauded, the days they were defrauded and the amounts of money each allegedly lost.”</w:t>
      </w:r>
      <w:r>
        <w:rPr>
          <w:rStyle w:val="FootnoteReference"/>
          <w:rFonts w:ascii="Century Schoolbook" w:eastAsia="Times New Roman" w:hAnsi="Century Schoolbook" w:cs="Times New Roman"/>
          <w:sz w:val="28"/>
          <w:szCs w:val="28"/>
        </w:rPr>
        <w:footnoteReference w:id="2"/>
      </w:r>
      <w:r>
        <w:rPr>
          <w:rFonts w:ascii="Century Schoolbook" w:eastAsia="Times New Roman" w:hAnsi="Century Schoolbook" w:cs="Times New Roman"/>
          <w:sz w:val="28"/>
          <w:szCs w:val="28"/>
        </w:rPr>
        <w:t xml:space="preserve"> Paragraph 40 alleges, “</w:t>
      </w:r>
      <w:r>
        <w:rPr>
          <w:rFonts w:ascii="Century Schoolbook" w:eastAsia="Times New Roman" w:hAnsi="Century Schoolbook" w:cs="Times New Roman"/>
          <w:sz w:val="28"/>
          <w:szCs w:val="28"/>
        </w:rPr>
        <w:t>On or about the following dates</w:t>
      </w:r>
      <w:proofErr w:type="gramStart"/>
      <w:r>
        <w:rPr>
          <w:rFonts w:ascii="Century Schoolbook" w:eastAsia="Times New Roman" w:hAnsi="Century Schoolbook" w:cs="Times New Roman"/>
          <w:sz w:val="28"/>
          <w:szCs w:val="28"/>
        </w:rPr>
        <w:t>,</w:t>
      </w:r>
      <w:r>
        <w:rPr>
          <w:rFonts w:ascii="Century Schoolbook" w:eastAsia="Times New Roman" w:hAnsi="Century Schoolbook" w:cs="Times New Roman"/>
          <w:sz w:val="28"/>
          <w:szCs w:val="28"/>
        </w:rPr>
        <w:t>…</w:t>
      </w:r>
      <w:proofErr w:type="gramEnd"/>
      <w:r>
        <w:rPr>
          <w:rFonts w:ascii="Century Schoolbook" w:eastAsia="Times New Roman" w:hAnsi="Century Schoolbook" w:cs="Times New Roman"/>
          <w:sz w:val="28"/>
          <w:szCs w:val="28"/>
        </w:rPr>
        <w:t xml:space="preserve"> defendants,</w:t>
      </w:r>
      <w:r>
        <w:rPr>
          <w:rFonts w:ascii="Century Schoolbook" w:eastAsia="Times New Roman" w:hAnsi="Century Schoolbook" w:cs="Times New Roman"/>
          <w:sz w:val="28"/>
          <w:szCs w:val="28"/>
        </w:rPr>
        <w:t>…</w:t>
      </w:r>
      <w:r>
        <w:rPr>
          <w:rFonts w:ascii="Century Schoolbook" w:eastAsia="Times New Roman" w:hAnsi="Century Schoolbook" w:cs="Times New Roman"/>
          <w:sz w:val="28"/>
          <w:szCs w:val="28"/>
        </w:rPr>
        <w:t>in connection with the sale of securities</w:t>
      </w:r>
      <w:r>
        <w:rPr>
          <w:rFonts w:ascii="Century Schoolbook" w:eastAsia="Times New Roman" w:hAnsi="Century Schoolbook" w:cs="Times New Roman"/>
          <w:sz w:val="28"/>
          <w:szCs w:val="28"/>
        </w:rPr>
        <w:t xml:space="preserve">…did use and employ manipulative and deceptive devices and contrivances….” In other words, the overt acts were acts of fraud by conspirators that induced the purchases of Emperor </w:t>
      </w:r>
      <w:proofErr w:type="gramStart"/>
      <w:r>
        <w:rPr>
          <w:rFonts w:ascii="Century Schoolbook" w:eastAsia="Times New Roman" w:hAnsi="Century Schoolbook" w:cs="Times New Roman"/>
          <w:sz w:val="28"/>
          <w:szCs w:val="28"/>
        </w:rPr>
        <w:t>packages</w:t>
      </w:r>
      <w:proofErr w:type="gramEnd"/>
      <w:r>
        <w:rPr>
          <w:rFonts w:ascii="Century Schoolbook" w:eastAsia="Times New Roman" w:hAnsi="Century Schoolbook" w:cs="Times New Roman"/>
          <w:sz w:val="28"/>
          <w:szCs w:val="28"/>
        </w:rPr>
        <w:t xml:space="preserve"> listed in Count 13.</w:t>
      </w:r>
    </w:p>
    <w:p>
      <w:pPr>
        <w:spacing w:after="0" w:line="480" w:lineRule="auto"/>
        <w:ind w:firstLine="720"/>
        <w:jc w:val="both"/>
        <w:rPr>
          <w:rFonts w:ascii="Century Schoolbook" w:eastAsia="Times New Roman" w:hAnsi="Century Schoolbook" w:cs="Times New Roman"/>
          <w:sz w:val="28"/>
          <w:szCs w:val="28"/>
        </w:rPr>
      </w:pPr>
      <w:r>
        <w:rPr>
          <w:rFonts w:ascii="Century Schoolbook" w:eastAsia="Times New Roman" w:hAnsi="Century Schoolbook" w:cs="Times New Roman"/>
          <w:sz w:val="28"/>
          <w:szCs w:val="28"/>
        </w:rPr>
        <w:t>An initial draft of the court’s instructions did not so limit the overt acts. Defendants objected arguing “it is impossible to decipher what the alleged overt acts are” and that it was necessary for the court to limit the overt acts at issue in the instruction to those charged in the Indictment.</w:t>
      </w:r>
      <w:r>
        <w:rPr>
          <w:rFonts w:ascii="Century Schoolbook" w:eastAsia="Times New Roman" w:hAnsi="Century Schoolbook" w:cs="Times New Roman"/>
          <w:sz w:val="28"/>
          <w:szCs w:val="28"/>
          <w:vertAlign w:val="superscript"/>
        </w:rPr>
        <w:footnoteReference w:id="3"/>
      </w:r>
      <w:r>
        <w:rPr>
          <w:rFonts w:ascii="Century Schoolbook" w:eastAsia="Times New Roman" w:hAnsi="Century Schoolbook" w:cs="Times New Roman"/>
          <w:sz w:val="28"/>
          <w:szCs w:val="28"/>
        </w:rPr>
        <w:t xml:space="preserve"> The court agreed and </w:t>
      </w:r>
      <w:r>
        <w:rPr>
          <w:rFonts w:ascii="Century Schoolbook" w:eastAsia="Times New Roman" w:hAnsi="Century Schoolbook" w:cs="Times New Roman"/>
          <w:sz w:val="28"/>
          <w:szCs w:val="28"/>
        </w:rPr>
        <w:t xml:space="preserve">ruled that “we’re going to define overt acts as -- </w:t>
      </w:r>
      <w:proofErr w:type="spellStart"/>
      <w:r>
        <w:rPr>
          <w:rFonts w:ascii="Century Schoolbook" w:eastAsia="Times New Roman" w:hAnsi="Century Schoolbook" w:cs="Times New Roman"/>
          <w:sz w:val="28"/>
          <w:szCs w:val="28"/>
        </w:rPr>
        <w:t>as</w:t>
      </w:r>
      <w:proofErr w:type="spellEnd"/>
      <w:r>
        <w:rPr>
          <w:rFonts w:ascii="Century Schoolbook" w:eastAsia="Times New Roman" w:hAnsi="Century Schoolbook" w:cs="Times New Roman"/>
          <w:sz w:val="28"/>
          <w:szCs w:val="28"/>
        </w:rPr>
        <w:t xml:space="preserve"> it was defined in the -- in the -- in paragraph 40, sub (c).”</w:t>
      </w:r>
      <w:r>
        <w:rPr>
          <w:rFonts w:ascii="Century Schoolbook" w:eastAsia="Times New Roman" w:hAnsi="Century Schoolbook" w:cs="Times New Roman"/>
          <w:sz w:val="28"/>
          <w:szCs w:val="28"/>
          <w:vertAlign w:val="superscript"/>
        </w:rPr>
        <w:footnoteReference w:id="4"/>
      </w:r>
    </w:p>
    <w:p>
      <w:pPr>
        <w:spacing w:after="0" w:line="480" w:lineRule="auto"/>
        <w:ind w:firstLine="720"/>
        <w:jc w:val="both"/>
        <w:rPr>
          <w:rFonts w:ascii="Century Schoolbook" w:eastAsia="Times New Roman" w:hAnsi="Century Schoolbook" w:cs="Times New Roman"/>
          <w:sz w:val="28"/>
          <w:szCs w:val="28"/>
        </w:rPr>
      </w:pPr>
      <w:r>
        <w:rPr>
          <w:rFonts w:ascii="Century Schoolbook" w:eastAsia="Times New Roman" w:hAnsi="Century Schoolbook" w:cs="Times New Roman"/>
          <w:sz w:val="28"/>
          <w:szCs w:val="28"/>
        </w:rPr>
        <w:t>Despite this ruling, the final version of the instructions did not limit the overt acts to those charged in the Indictment. Rather, the instruction read, “</w:t>
      </w:r>
      <w:r>
        <w:rPr>
          <w:rFonts w:ascii="Century Schoolbook" w:eastAsia="Times New Roman" w:hAnsi="Century Schoolbook" w:cs="Times New Roman"/>
          <w:sz w:val="28"/>
          <w:szCs w:val="28"/>
        </w:rPr>
        <w:t>For Count 13, the third element that the Government must prove is that a member of the conspiracy committed an overt act for the purpose of advancing or helping the conspiracy to commit securities fraud with respect to the s</w:t>
      </w:r>
      <w:r>
        <w:rPr>
          <w:rFonts w:ascii="Century Schoolbook" w:eastAsia="Times New Roman" w:hAnsi="Century Schoolbook" w:cs="Times New Roman"/>
          <w:sz w:val="28"/>
          <w:szCs w:val="28"/>
        </w:rPr>
        <w:t>ale of the following securities.”</w:t>
      </w:r>
      <w:r>
        <w:rPr>
          <w:rStyle w:val="FootnoteReference"/>
          <w:rFonts w:ascii="Century Schoolbook" w:eastAsia="Times New Roman" w:hAnsi="Century Schoolbook" w:cs="Times New Roman"/>
          <w:sz w:val="28"/>
          <w:szCs w:val="28"/>
        </w:rPr>
        <w:footnoteReference w:id="5"/>
      </w:r>
      <w:r>
        <w:rPr>
          <w:rFonts w:ascii="Century Schoolbook" w:eastAsia="Times New Roman" w:hAnsi="Century Schoolbook" w:cs="Times New Roman"/>
          <w:sz w:val="28"/>
          <w:szCs w:val="28"/>
        </w:rPr>
        <w:t xml:space="preserve"> This did not contain any limitation on the potential overt acts at issue and improperly instructed the jury on an ultimate issue – that the Emperor packages were securities.</w:t>
      </w:r>
    </w:p>
    <w:p>
      <w:pPr>
        <w:spacing w:after="0" w:line="480" w:lineRule="auto"/>
        <w:ind w:firstLine="720"/>
        <w:jc w:val="both"/>
        <w:rPr>
          <w:rFonts w:ascii="Century Schoolbook" w:eastAsia="Times New Roman" w:hAnsi="Century Schoolbook" w:cs="Times New Roman"/>
          <w:sz w:val="28"/>
          <w:szCs w:val="28"/>
        </w:rPr>
      </w:pPr>
      <w:r>
        <w:rPr>
          <w:rFonts w:ascii="Century Schoolbook" w:eastAsia="Times New Roman" w:hAnsi="Century Schoolbook" w:cs="Times New Roman"/>
          <w:sz w:val="28"/>
          <w:szCs w:val="28"/>
        </w:rPr>
        <w:t>Because there was no proof that any conspirator committed an act of fraud within the statute of limitations, the error in this instruction was prejudicial.</w:t>
      </w:r>
    </w:p>
    <w:p>
      <w:pPr>
        <w:spacing w:after="0" w:line="240" w:lineRule="auto"/>
        <w:ind w:left="1440" w:hanging="720"/>
        <w:jc w:val="both"/>
        <w:rPr>
          <w:rFonts w:ascii="Century Schoolbook" w:eastAsia="Times New Roman" w:hAnsi="Century Schoolbook" w:cs="Times New Roman"/>
          <w:b/>
          <w:sz w:val="28"/>
          <w:szCs w:val="28"/>
        </w:rPr>
      </w:pPr>
      <w:r>
        <w:rPr>
          <w:rFonts w:ascii="Century Schoolbook" w:eastAsia="Times New Roman" w:hAnsi="Century Schoolbook" w:cs="Times New Roman"/>
          <w:b/>
          <w:sz w:val="28"/>
          <w:szCs w:val="28"/>
        </w:rPr>
        <w:t>B.</w:t>
      </w:r>
      <w:r>
        <w:rPr>
          <w:rFonts w:ascii="Century Schoolbook" w:eastAsia="Times New Roman" w:hAnsi="Century Schoolbook" w:cs="Times New Roman"/>
          <w:b/>
          <w:sz w:val="28"/>
          <w:szCs w:val="28"/>
        </w:rPr>
        <w:tab/>
        <w:t>There was no proof of an overt act charged in the Indictment within the limitations period.</w:t>
      </w:r>
    </w:p>
    <w:p>
      <w:pPr>
        <w:spacing w:after="0" w:line="240" w:lineRule="auto"/>
        <w:ind w:left="1440" w:hanging="720"/>
        <w:jc w:val="both"/>
        <w:rPr>
          <w:rFonts w:ascii="Century Schoolbook" w:eastAsia="Times New Roman" w:hAnsi="Century Schoolbook" w:cs="Times New Roman"/>
          <w:b/>
          <w:sz w:val="28"/>
          <w:szCs w:val="28"/>
        </w:rPr>
      </w:pPr>
    </w:p>
    <w:p>
      <w:pPr>
        <w:spacing w:after="0" w:line="480" w:lineRule="auto"/>
        <w:ind w:firstLine="720"/>
        <w:jc w:val="both"/>
        <w:rPr>
          <w:rFonts w:ascii="Century Schoolbook" w:eastAsia="Times New Roman" w:hAnsi="Century Schoolbook" w:cs="Times New Roman"/>
          <w:sz w:val="28"/>
          <w:szCs w:val="28"/>
        </w:rPr>
      </w:pPr>
      <w:r>
        <w:rPr>
          <w:rFonts w:ascii="Century Schoolbook" w:eastAsia="Times New Roman" w:hAnsi="Century Schoolbook" w:cs="Times New Roman"/>
          <w:sz w:val="28"/>
          <w:szCs w:val="28"/>
        </w:rPr>
        <w:t>The court properly instructed that to convict on Count 13 the jury must find “that at least one overt act was committed for the purpose of advancing or helping the conspiracy after November 13, 2014.”</w:t>
      </w:r>
      <w:r>
        <w:rPr>
          <w:rStyle w:val="FootnoteReference"/>
          <w:rFonts w:ascii="Century Schoolbook" w:eastAsia="Times New Roman" w:hAnsi="Century Schoolbook" w:cs="Times New Roman"/>
          <w:sz w:val="28"/>
          <w:szCs w:val="28"/>
        </w:rPr>
        <w:footnoteReference w:id="6"/>
      </w:r>
      <w:r>
        <w:rPr>
          <w:rFonts w:ascii="Century Schoolbook" w:eastAsia="Times New Roman" w:hAnsi="Century Schoolbook" w:cs="Times New Roman"/>
          <w:sz w:val="28"/>
          <w:szCs w:val="28"/>
        </w:rPr>
        <w:t xml:space="preserve"> However, as noted above the overt act must be charged in the Indictment. </w:t>
      </w:r>
      <w:r>
        <w:rPr>
          <w:rFonts w:ascii="Century Schoolbook" w:eastAsia="Times New Roman" w:hAnsi="Century Schoolbook" w:cs="Times New Roman"/>
          <w:i/>
          <w:sz w:val="28"/>
          <w:szCs w:val="28"/>
        </w:rPr>
        <w:t xml:space="preserve">See </w:t>
      </w:r>
      <w:r>
        <w:rPr>
          <w:rFonts w:ascii="Century Schoolbook" w:eastAsia="Times New Roman" w:hAnsi="Century Schoolbook" w:cs="Times New Roman"/>
          <w:i/>
          <w:sz w:val="28"/>
          <w:szCs w:val="28"/>
        </w:rPr>
        <w:t>Brown v. Elliott</w:t>
      </w:r>
      <w:r>
        <w:rPr>
          <w:rFonts w:ascii="Century Schoolbook" w:eastAsia="Times New Roman" w:hAnsi="Century Schoolbook" w:cs="Times New Roman"/>
          <w:sz w:val="28"/>
          <w:szCs w:val="28"/>
        </w:rPr>
        <w:t>, 225 U.S. 392, 401 (1912)</w:t>
      </w:r>
      <w:r>
        <w:rPr>
          <w:rFonts w:ascii="Century Schoolbook" w:eastAsia="Times New Roman" w:hAnsi="Century Schoolbook" w:cs="Times New Roman"/>
          <w:sz w:val="28"/>
          <w:szCs w:val="28"/>
        </w:rPr>
        <w:t>. The only overt act that the Government contended fell within the limitations period related to “</w:t>
      </w:r>
      <w:proofErr w:type="spellStart"/>
      <w:r>
        <w:rPr>
          <w:rFonts w:ascii="Century Schoolbook" w:eastAsia="Times New Roman" w:hAnsi="Century Schoolbook" w:cs="Times New Roman"/>
          <w:sz w:val="28"/>
          <w:szCs w:val="28"/>
        </w:rPr>
        <w:t>S.H</w:t>
      </w:r>
      <w:proofErr w:type="spellEnd"/>
      <w:r>
        <w:rPr>
          <w:rFonts w:ascii="Century Schoolbook" w:eastAsia="Times New Roman" w:hAnsi="Century Schoolbook" w:cs="Times New Roman"/>
          <w:sz w:val="28"/>
          <w:szCs w:val="28"/>
        </w:rPr>
        <w:t xml:space="preserve">.” </w:t>
      </w:r>
    </w:p>
    <w:p>
      <w:pPr>
        <w:spacing w:after="0" w:line="480" w:lineRule="auto"/>
        <w:jc w:val="both"/>
        <w:rPr>
          <w:rFonts w:ascii="Century Schoolbook" w:eastAsia="Times New Roman" w:hAnsi="Century Schoolbook" w:cs="Times New Roman"/>
          <w:sz w:val="28"/>
          <w:szCs w:val="28"/>
        </w:rPr>
      </w:pPr>
      <w:r>
        <w:rPr>
          <w:rFonts w:ascii="Century Schoolbook" w:eastAsia="Times New Roman" w:hAnsi="Century Schoolbook" w:cs="Times New Roman"/>
          <w:sz w:val="28"/>
          <w:szCs w:val="28"/>
        </w:rPr>
        <w:t xml:space="preserve">But the undisputed proof shows that </w:t>
      </w:r>
      <w:proofErr w:type="spellStart"/>
      <w:r>
        <w:rPr>
          <w:rFonts w:ascii="Century Schoolbook" w:eastAsia="Times New Roman" w:hAnsi="Century Schoolbook" w:cs="Times New Roman"/>
          <w:sz w:val="28"/>
          <w:szCs w:val="28"/>
        </w:rPr>
        <w:t>S.H</w:t>
      </w:r>
      <w:proofErr w:type="spellEnd"/>
      <w:r>
        <w:rPr>
          <w:rFonts w:ascii="Century Schoolbook" w:eastAsia="Times New Roman" w:hAnsi="Century Schoolbook" w:cs="Times New Roman"/>
          <w:sz w:val="28"/>
          <w:szCs w:val="28"/>
        </w:rPr>
        <w:t xml:space="preserve">. purchased his Emperor packages (from Scott </w:t>
      </w:r>
      <w:proofErr w:type="spellStart"/>
      <w:r>
        <w:rPr>
          <w:rFonts w:ascii="Century Schoolbook" w:eastAsia="Times New Roman" w:hAnsi="Century Schoolbook" w:cs="Times New Roman"/>
          <w:sz w:val="28"/>
          <w:szCs w:val="28"/>
        </w:rPr>
        <w:t>Magers</w:t>
      </w:r>
      <w:proofErr w:type="spellEnd"/>
      <w:r>
        <w:rPr>
          <w:rFonts w:ascii="Century Schoolbook" w:eastAsia="Times New Roman" w:hAnsi="Century Schoolbook" w:cs="Times New Roman"/>
          <w:sz w:val="28"/>
          <w:szCs w:val="28"/>
        </w:rPr>
        <w:t>) on October 31, 2014.</w:t>
      </w:r>
      <w:r>
        <w:rPr>
          <w:rFonts w:ascii="Century Schoolbook" w:eastAsia="Times New Roman" w:hAnsi="Century Schoolbook" w:cs="Times New Roman"/>
          <w:sz w:val="28"/>
          <w:szCs w:val="28"/>
          <w:vertAlign w:val="superscript"/>
        </w:rPr>
        <w:footnoteReference w:id="7"/>
      </w:r>
      <w:r>
        <w:rPr>
          <w:rFonts w:ascii="Century Schoolbook" w:eastAsia="Times New Roman" w:hAnsi="Century Schoolbook" w:cs="Times New Roman"/>
          <w:sz w:val="28"/>
          <w:szCs w:val="28"/>
        </w:rPr>
        <w:t xml:space="preserve"> Thus, the overt charged in the Indictment -- fraudulent acts by a conspirator that induced the purchase -- necessarily occurred on or before the date </w:t>
      </w:r>
      <w:proofErr w:type="spellStart"/>
      <w:r>
        <w:rPr>
          <w:rFonts w:ascii="Century Schoolbook" w:eastAsia="Times New Roman" w:hAnsi="Century Schoolbook" w:cs="Times New Roman"/>
          <w:sz w:val="28"/>
          <w:szCs w:val="28"/>
        </w:rPr>
        <w:t>S.H</w:t>
      </w:r>
      <w:proofErr w:type="spellEnd"/>
      <w:r>
        <w:rPr>
          <w:rFonts w:ascii="Century Schoolbook" w:eastAsia="Times New Roman" w:hAnsi="Century Schoolbook" w:cs="Times New Roman"/>
          <w:sz w:val="28"/>
          <w:szCs w:val="28"/>
        </w:rPr>
        <w:t>. made the purchase.</w:t>
      </w:r>
      <w:r>
        <w:rPr>
          <w:rStyle w:val="FootnoteReference"/>
          <w:rFonts w:ascii="Century Schoolbook" w:eastAsia="Times New Roman" w:hAnsi="Century Schoolbook" w:cs="Times New Roman"/>
          <w:sz w:val="28"/>
          <w:szCs w:val="28"/>
        </w:rPr>
        <w:footnoteReference w:id="8"/>
      </w:r>
      <w:r>
        <w:rPr>
          <w:rFonts w:ascii="Century Schoolbook" w:eastAsia="Times New Roman" w:hAnsi="Century Schoolbook" w:cs="Times New Roman"/>
          <w:sz w:val="28"/>
          <w:szCs w:val="28"/>
        </w:rPr>
        <w:t xml:space="preserve"> Thus, the securities fraud claim was barred by the statute of limitations. </w:t>
      </w:r>
    </w:p>
    <w:p>
      <w:pPr>
        <w:spacing w:after="0" w:line="480" w:lineRule="auto"/>
        <w:jc w:val="both"/>
        <w:rPr>
          <w:rFonts w:ascii="Century Schoolbook" w:eastAsia="Times New Roman" w:hAnsi="Century Schoolbook" w:cs="Times New Roman"/>
          <w:sz w:val="28"/>
          <w:szCs w:val="28"/>
        </w:rPr>
      </w:pPr>
      <w:r>
        <w:rPr>
          <w:rFonts w:ascii="Century Schoolbook" w:eastAsia="Times New Roman" w:hAnsi="Century Schoolbook" w:cs="Times New Roman"/>
          <w:sz w:val="28"/>
          <w:szCs w:val="28"/>
        </w:rPr>
        <w:tab/>
        <w:t xml:space="preserve">Finally, </w:t>
      </w:r>
      <w:proofErr w:type="spellStart"/>
      <w:r>
        <w:rPr>
          <w:rFonts w:ascii="Century Schoolbook" w:eastAsia="Times New Roman" w:hAnsi="Century Schoolbook" w:cs="Times New Roman"/>
          <w:sz w:val="28"/>
          <w:szCs w:val="28"/>
        </w:rPr>
        <w:t>S.H</w:t>
      </w:r>
      <w:proofErr w:type="spellEnd"/>
      <w:r>
        <w:rPr>
          <w:rFonts w:ascii="Century Schoolbook" w:eastAsia="Times New Roman" w:hAnsi="Century Schoolbook" w:cs="Times New Roman"/>
          <w:sz w:val="28"/>
          <w:szCs w:val="28"/>
        </w:rPr>
        <w:t xml:space="preserve">. purchased the Emperor packages outside of the United States. </w:t>
      </w:r>
      <w:proofErr w:type="spellStart"/>
      <w:r>
        <w:rPr>
          <w:rFonts w:ascii="Century Schoolbook" w:eastAsia="Times New Roman" w:hAnsi="Century Schoolbook" w:cs="Times New Roman"/>
          <w:sz w:val="28"/>
          <w:szCs w:val="28"/>
        </w:rPr>
        <w:t>Magers</w:t>
      </w:r>
      <w:proofErr w:type="spellEnd"/>
      <w:r>
        <w:rPr>
          <w:rFonts w:ascii="Century Schoolbook" w:eastAsia="Times New Roman" w:hAnsi="Century Schoolbook" w:cs="Times New Roman"/>
          <w:sz w:val="28"/>
          <w:szCs w:val="28"/>
        </w:rPr>
        <w:t xml:space="preserve"> met with </w:t>
      </w:r>
      <w:proofErr w:type="spellStart"/>
      <w:r>
        <w:rPr>
          <w:rFonts w:ascii="Century Schoolbook" w:eastAsia="Times New Roman" w:hAnsi="Century Schoolbook" w:cs="Times New Roman"/>
          <w:sz w:val="28"/>
          <w:szCs w:val="28"/>
        </w:rPr>
        <w:t>S.H</w:t>
      </w:r>
      <w:proofErr w:type="spellEnd"/>
      <w:r>
        <w:rPr>
          <w:rFonts w:ascii="Century Schoolbook" w:eastAsia="Times New Roman" w:hAnsi="Century Schoolbook" w:cs="Times New Roman"/>
          <w:sz w:val="28"/>
          <w:szCs w:val="28"/>
        </w:rPr>
        <w:t>.</w:t>
      </w:r>
      <w:r>
        <w:rPr>
          <w:rFonts w:ascii="Century Schoolbook" w:eastAsia="Times New Roman" w:hAnsi="Century Schoolbook" w:cs="Times New Roman"/>
          <w:sz w:val="28"/>
          <w:szCs w:val="28"/>
        </w:rPr>
        <w:t xml:space="preserve"> in London, England in August 2014.</w:t>
      </w:r>
      <w:r>
        <w:rPr>
          <w:rFonts w:ascii="Century Schoolbook" w:eastAsia="Times New Roman" w:hAnsi="Century Schoolbook" w:cs="Times New Roman"/>
          <w:sz w:val="28"/>
          <w:szCs w:val="28"/>
          <w:vertAlign w:val="superscript"/>
        </w:rPr>
        <w:footnoteReference w:id="9"/>
      </w:r>
      <w:r>
        <w:rPr>
          <w:rFonts w:ascii="Century Schoolbook" w:eastAsia="Times New Roman" w:hAnsi="Century Schoolbook" w:cs="Times New Roman"/>
          <w:sz w:val="28"/>
          <w:szCs w:val="28"/>
        </w:rPr>
        <w:t xml:space="preserve"> Based on that conversation, </w:t>
      </w:r>
      <w:proofErr w:type="spellStart"/>
      <w:r>
        <w:rPr>
          <w:rFonts w:ascii="Century Schoolbook" w:eastAsia="Times New Roman" w:hAnsi="Century Schoolbook" w:cs="Times New Roman"/>
          <w:sz w:val="28"/>
          <w:szCs w:val="28"/>
        </w:rPr>
        <w:t>S.H</w:t>
      </w:r>
      <w:proofErr w:type="spellEnd"/>
      <w:r>
        <w:rPr>
          <w:rFonts w:ascii="Century Schoolbook" w:eastAsia="Times New Roman" w:hAnsi="Century Schoolbook" w:cs="Times New Roman"/>
          <w:sz w:val="28"/>
          <w:szCs w:val="28"/>
        </w:rPr>
        <w:t>.</w:t>
      </w:r>
      <w:r>
        <w:rPr>
          <w:rFonts w:ascii="Century Schoolbook" w:eastAsia="Times New Roman" w:hAnsi="Century Schoolbook" w:cs="Times New Roman"/>
          <w:sz w:val="28"/>
          <w:szCs w:val="28"/>
        </w:rPr>
        <w:t xml:space="preserve"> agreed to become an Emperor.</w:t>
      </w:r>
      <w:r>
        <w:rPr>
          <w:rFonts w:ascii="Century Schoolbook" w:eastAsia="Times New Roman" w:hAnsi="Century Schoolbook" w:cs="Times New Roman"/>
          <w:sz w:val="28"/>
          <w:szCs w:val="28"/>
          <w:vertAlign w:val="superscript"/>
        </w:rPr>
        <w:footnoteReference w:id="10"/>
      </w:r>
      <w:r>
        <w:rPr>
          <w:rFonts w:ascii="Century Schoolbook" w:eastAsia="Times New Roman" w:hAnsi="Century Schoolbook" w:cs="Times New Roman"/>
          <w:sz w:val="28"/>
          <w:szCs w:val="28"/>
        </w:rPr>
        <w:t xml:space="preserve"> </w:t>
      </w:r>
      <w:proofErr w:type="spellStart"/>
      <w:r>
        <w:rPr>
          <w:rFonts w:ascii="Century Schoolbook" w:eastAsia="Times New Roman" w:hAnsi="Century Schoolbook" w:cs="Times New Roman"/>
          <w:sz w:val="28"/>
          <w:szCs w:val="28"/>
        </w:rPr>
        <w:t>S.H</w:t>
      </w:r>
      <w:proofErr w:type="spellEnd"/>
      <w:r>
        <w:rPr>
          <w:rFonts w:ascii="Century Schoolbook" w:eastAsia="Times New Roman" w:hAnsi="Century Schoolbook" w:cs="Times New Roman"/>
          <w:sz w:val="28"/>
          <w:szCs w:val="28"/>
        </w:rPr>
        <w:t>.</w:t>
      </w:r>
      <w:r>
        <w:rPr>
          <w:rFonts w:ascii="Century Schoolbook" w:eastAsia="Times New Roman" w:hAnsi="Century Schoolbook" w:cs="Times New Roman"/>
          <w:sz w:val="28"/>
          <w:szCs w:val="28"/>
        </w:rPr>
        <w:t xml:space="preserve"> wired money from London, England on October 31, 2014.</w:t>
      </w:r>
      <w:r>
        <w:rPr>
          <w:rFonts w:ascii="Century Schoolbook" w:eastAsia="Times New Roman" w:hAnsi="Century Schoolbook" w:cs="Times New Roman"/>
          <w:sz w:val="28"/>
          <w:szCs w:val="28"/>
          <w:vertAlign w:val="superscript"/>
        </w:rPr>
        <w:footnoteReference w:id="11"/>
      </w:r>
      <w:r>
        <w:rPr>
          <w:rFonts w:ascii="Century Schoolbook" w:eastAsia="Times New Roman" w:hAnsi="Century Schoolbook" w:cs="Times New Roman"/>
          <w:sz w:val="28"/>
          <w:szCs w:val="28"/>
        </w:rPr>
        <w:t xml:space="preserve"> </w:t>
      </w:r>
      <w:r>
        <w:rPr>
          <w:rFonts w:ascii="Century Schoolbook" w:eastAsia="Times New Roman" w:hAnsi="Century Schoolbook" w:cs="Times New Roman"/>
          <w:sz w:val="28"/>
          <w:szCs w:val="28"/>
        </w:rPr>
        <w:t xml:space="preserve">Because the alleged overt act is an act of securities fraud with respect to </w:t>
      </w:r>
      <w:proofErr w:type="spellStart"/>
      <w:r>
        <w:rPr>
          <w:rFonts w:ascii="Century Schoolbook" w:eastAsia="Times New Roman" w:hAnsi="Century Schoolbook" w:cs="Times New Roman"/>
          <w:sz w:val="28"/>
          <w:szCs w:val="28"/>
        </w:rPr>
        <w:t>S.H.’s</w:t>
      </w:r>
      <w:proofErr w:type="spellEnd"/>
      <w:r>
        <w:rPr>
          <w:rFonts w:ascii="Century Schoolbook" w:eastAsia="Times New Roman" w:hAnsi="Century Schoolbook" w:cs="Times New Roman"/>
          <w:sz w:val="28"/>
          <w:szCs w:val="28"/>
        </w:rPr>
        <w:t xml:space="preserve"> purchase, that allegation would be barred as extraterritorial. Only domestic transactions are governed by the securities laws. </w:t>
      </w:r>
      <w:r>
        <w:rPr>
          <w:rFonts w:ascii="Century Schoolbook" w:eastAsia="Times New Roman" w:hAnsi="Century Schoolbook" w:cs="Times New Roman"/>
          <w:i/>
          <w:sz w:val="28"/>
          <w:szCs w:val="28"/>
        </w:rPr>
        <w:t xml:space="preserve">Morrison v. Nat’l Austl. Bank </w:t>
      </w:r>
      <w:r>
        <w:rPr>
          <w:rFonts w:ascii="Century Schoolbook" w:eastAsia="Times New Roman" w:hAnsi="Century Schoolbook" w:cs="Times New Roman"/>
          <w:sz w:val="28"/>
          <w:szCs w:val="28"/>
        </w:rPr>
        <w:t xml:space="preserve">Ltd., 561 U.S. 247, 267 (2010); </w:t>
      </w:r>
      <w:r>
        <w:rPr>
          <w:rFonts w:ascii="Century Schoolbook" w:eastAsia="Times New Roman" w:hAnsi="Century Schoolbook" w:cs="Times New Roman"/>
          <w:i/>
          <w:sz w:val="28"/>
          <w:szCs w:val="28"/>
        </w:rPr>
        <w:t xml:space="preserve">U.S. v. </w:t>
      </w:r>
      <w:proofErr w:type="spellStart"/>
      <w:r>
        <w:rPr>
          <w:rFonts w:ascii="Century Schoolbook" w:eastAsia="Times New Roman" w:hAnsi="Century Schoolbook" w:cs="Times New Roman"/>
          <w:i/>
          <w:sz w:val="28"/>
          <w:szCs w:val="28"/>
        </w:rPr>
        <w:t>Vilar</w:t>
      </w:r>
      <w:proofErr w:type="spellEnd"/>
      <w:r>
        <w:rPr>
          <w:rFonts w:ascii="Century Schoolbook" w:eastAsia="Times New Roman" w:hAnsi="Century Schoolbook" w:cs="Times New Roman"/>
          <w:sz w:val="28"/>
          <w:szCs w:val="28"/>
        </w:rPr>
        <w:t xml:space="preserve">, 729 </w:t>
      </w:r>
      <w:proofErr w:type="spellStart"/>
      <w:r>
        <w:rPr>
          <w:rFonts w:ascii="Century Schoolbook" w:eastAsia="Times New Roman" w:hAnsi="Century Schoolbook" w:cs="Times New Roman"/>
          <w:sz w:val="28"/>
          <w:szCs w:val="28"/>
        </w:rPr>
        <w:t>F.3d</w:t>
      </w:r>
      <w:proofErr w:type="spellEnd"/>
      <w:r>
        <w:rPr>
          <w:rFonts w:ascii="Century Schoolbook" w:eastAsia="Times New Roman" w:hAnsi="Century Schoolbook" w:cs="Times New Roman"/>
          <w:sz w:val="28"/>
          <w:szCs w:val="28"/>
        </w:rPr>
        <w:t xml:space="preserve"> 62, 74-75 (</w:t>
      </w:r>
      <w:proofErr w:type="spellStart"/>
      <w:r>
        <w:rPr>
          <w:rFonts w:ascii="Century Schoolbook" w:eastAsia="Times New Roman" w:hAnsi="Century Schoolbook" w:cs="Times New Roman"/>
          <w:sz w:val="28"/>
          <w:szCs w:val="28"/>
        </w:rPr>
        <w:t>2d</w:t>
      </w:r>
      <w:proofErr w:type="spellEnd"/>
      <w:r>
        <w:rPr>
          <w:rFonts w:ascii="Century Schoolbook" w:eastAsia="Times New Roman" w:hAnsi="Century Schoolbook" w:cs="Times New Roman"/>
          <w:sz w:val="28"/>
          <w:szCs w:val="28"/>
        </w:rPr>
        <w:t xml:space="preserve"> Cir. 2013); </w:t>
      </w:r>
      <w:r>
        <w:rPr>
          <w:rFonts w:ascii="Century Schoolbook" w:eastAsia="Times New Roman" w:hAnsi="Century Schoolbook" w:cs="Times New Roman"/>
          <w:i/>
          <w:sz w:val="28"/>
          <w:szCs w:val="28"/>
        </w:rPr>
        <w:t>Clark v. Martinez</w:t>
      </w:r>
      <w:r>
        <w:rPr>
          <w:rFonts w:ascii="Century Schoolbook" w:eastAsia="Times New Roman" w:hAnsi="Century Schoolbook" w:cs="Times New Roman"/>
          <w:sz w:val="28"/>
          <w:szCs w:val="28"/>
        </w:rPr>
        <w:t xml:space="preserve">, 543 U.S. 371, 386 (2005); </w:t>
      </w:r>
      <w:r>
        <w:rPr>
          <w:rFonts w:ascii="Century Schoolbook" w:eastAsia="Times New Roman" w:hAnsi="Century Schoolbook" w:cs="Times New Roman"/>
          <w:i/>
          <w:sz w:val="28"/>
          <w:szCs w:val="28"/>
        </w:rPr>
        <w:t>United States v. Coffman</w:t>
      </w:r>
      <w:r>
        <w:rPr>
          <w:rFonts w:ascii="Century Schoolbook" w:eastAsia="Times New Roman" w:hAnsi="Century Schoolbook" w:cs="Times New Roman"/>
          <w:sz w:val="28"/>
          <w:szCs w:val="28"/>
        </w:rPr>
        <w:t xml:space="preserve">, 771 F. Supp. </w:t>
      </w:r>
      <w:proofErr w:type="spellStart"/>
      <w:r>
        <w:rPr>
          <w:rFonts w:ascii="Century Schoolbook" w:eastAsia="Times New Roman" w:hAnsi="Century Schoolbook" w:cs="Times New Roman"/>
          <w:sz w:val="28"/>
          <w:szCs w:val="28"/>
        </w:rPr>
        <w:t>2d</w:t>
      </w:r>
      <w:proofErr w:type="spellEnd"/>
      <w:r>
        <w:rPr>
          <w:rFonts w:ascii="Century Schoolbook" w:eastAsia="Times New Roman" w:hAnsi="Century Schoolbook" w:cs="Times New Roman"/>
          <w:sz w:val="28"/>
          <w:szCs w:val="28"/>
        </w:rPr>
        <w:t xml:space="preserve"> 735, 737 (E.D. Ky. 2011);  </w:t>
      </w:r>
    </w:p>
    <w:p>
      <w:pPr>
        <w:spacing w:after="0" w:line="480" w:lineRule="auto"/>
        <w:jc w:val="both"/>
        <w:rPr>
          <w:rFonts w:ascii="Century Schoolbook" w:eastAsia="Times New Roman" w:hAnsi="Century Schoolbook" w:cs="Times New Roman"/>
          <w:sz w:val="28"/>
          <w:szCs w:val="28"/>
        </w:rPr>
      </w:pPr>
      <w:r>
        <w:rPr>
          <w:rFonts w:ascii="Century Schoolbook" w:eastAsia="Times New Roman" w:hAnsi="Century Schoolbook" w:cs="Times New Roman"/>
          <w:sz w:val="28"/>
          <w:szCs w:val="28"/>
        </w:rPr>
        <w:tab/>
      </w:r>
    </w:p>
    <w:p>
      <w:pPr>
        <w:spacing w:after="0" w:line="480" w:lineRule="auto"/>
        <w:jc w:val="both"/>
        <w:rPr>
          <w:rFonts w:ascii="Century Schoolbook" w:eastAsia="Times New Roman" w:hAnsi="Century Schoolbook" w:cs="Times New Roman"/>
          <w:sz w:val="28"/>
          <w:szCs w:val="28"/>
        </w:rPr>
      </w:pPr>
      <w:r>
        <w:rPr>
          <w:rFonts w:ascii="Century Schoolbook" w:eastAsia="Times New Roman" w:hAnsi="Century Schoolbook" w:cs="Times New Roman"/>
          <w:sz w:val="28"/>
          <w:szCs w:val="28"/>
        </w:rPr>
        <w:t xml:space="preserve"> </w:t>
      </w:r>
    </w:p>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proofErr w:type="spellStart"/>
      <w:r>
        <w:t>R.437</w:t>
      </w:r>
      <w:proofErr w:type="spellEnd"/>
    </w:p>
  </w:footnote>
  <w:footnote w:id="2">
    <w:p>
      <w:pPr>
        <w:pStyle w:val="FootnoteText"/>
      </w:pPr>
      <w:r>
        <w:rPr>
          <w:rStyle w:val="FootnoteReference"/>
        </w:rPr>
        <w:footnoteRef/>
      </w:r>
      <w:r>
        <w:t xml:space="preserve"> </w:t>
      </w:r>
      <w:proofErr w:type="spellStart"/>
      <w:r>
        <w:t>R.452</w:t>
      </w:r>
      <w:proofErr w:type="spellEnd"/>
      <w:r>
        <w:t xml:space="preserve"> at #3528.</w:t>
      </w:r>
    </w:p>
  </w:footnote>
  <w:footnote w:id="3">
    <w:p>
      <w:pPr>
        <w:pStyle w:val="FootnoteText"/>
        <w:jc w:val="both"/>
        <w:rPr>
          <w:rFonts w:ascii="Century Schoolbook" w:hAnsi="Century Schoolbook"/>
          <w:sz w:val="28"/>
          <w:szCs w:val="28"/>
        </w:rPr>
      </w:pPr>
      <w:r>
        <w:rPr>
          <w:rStyle w:val="FootnoteReference"/>
          <w:rFonts w:ascii="Century Schoolbook" w:hAnsi="Century Schoolbook"/>
          <w:sz w:val="28"/>
          <w:szCs w:val="28"/>
        </w:rPr>
        <w:footnoteRef/>
      </w:r>
      <w:r>
        <w:rPr>
          <w:rFonts w:ascii="Century Schoolbook" w:hAnsi="Century Schoolbook"/>
          <w:sz w:val="28"/>
          <w:szCs w:val="28"/>
        </w:rPr>
        <w:t xml:space="preserve"> </w:t>
      </w:r>
      <w:proofErr w:type="spellStart"/>
      <w:r>
        <w:rPr>
          <w:rFonts w:ascii="Century Schoolbook" w:hAnsi="Century Schoolbook"/>
          <w:sz w:val="28"/>
          <w:szCs w:val="28"/>
        </w:rPr>
        <w:t>R.702</w:t>
      </w:r>
      <w:proofErr w:type="spellEnd"/>
      <w:r>
        <w:rPr>
          <w:rFonts w:ascii="Century Schoolbook" w:hAnsi="Century Schoolbook"/>
          <w:sz w:val="28"/>
          <w:szCs w:val="28"/>
        </w:rPr>
        <w:t>, #11098.</w:t>
      </w:r>
    </w:p>
  </w:footnote>
  <w:footnote w:id="4">
    <w:p>
      <w:pPr>
        <w:pStyle w:val="FootnoteText"/>
        <w:jc w:val="both"/>
        <w:rPr>
          <w:rFonts w:ascii="Century Schoolbook" w:hAnsi="Century Schoolbook"/>
          <w:sz w:val="28"/>
          <w:szCs w:val="28"/>
        </w:rPr>
      </w:pPr>
      <w:r>
        <w:rPr>
          <w:rStyle w:val="FootnoteReference"/>
          <w:rFonts w:ascii="Century Schoolbook" w:hAnsi="Century Schoolbook"/>
          <w:sz w:val="28"/>
          <w:szCs w:val="28"/>
        </w:rPr>
        <w:footnoteRef/>
      </w:r>
      <w:r>
        <w:rPr>
          <w:rFonts w:ascii="Century Schoolbook" w:hAnsi="Century Schoolbook"/>
          <w:sz w:val="28"/>
          <w:szCs w:val="28"/>
        </w:rPr>
        <w:t xml:space="preserve"> </w:t>
      </w:r>
      <w:proofErr w:type="spellStart"/>
      <w:r>
        <w:rPr>
          <w:rFonts w:ascii="Century Schoolbook" w:hAnsi="Century Schoolbook"/>
          <w:sz w:val="28"/>
          <w:szCs w:val="28"/>
        </w:rPr>
        <w:t>R.702</w:t>
      </w:r>
      <w:proofErr w:type="spellEnd"/>
      <w:r>
        <w:rPr>
          <w:rFonts w:ascii="Century Schoolbook" w:hAnsi="Century Schoolbook"/>
          <w:sz w:val="28"/>
          <w:szCs w:val="28"/>
        </w:rPr>
        <w:t>, #11104.</w:t>
      </w:r>
    </w:p>
  </w:footnote>
  <w:footnote w:id="5">
    <w:p>
      <w:pPr>
        <w:pStyle w:val="FootnoteText"/>
      </w:pPr>
      <w:r>
        <w:rPr>
          <w:rStyle w:val="FootnoteReference"/>
        </w:rPr>
        <w:footnoteRef/>
      </w:r>
      <w:r>
        <w:t xml:space="preserve"> R. 554, #5263.</w:t>
      </w:r>
    </w:p>
  </w:footnote>
  <w:footnote w:id="6">
    <w:p>
      <w:pPr>
        <w:pStyle w:val="FootnoteText"/>
      </w:pPr>
      <w:r>
        <w:rPr>
          <w:rStyle w:val="FootnoteReference"/>
        </w:rPr>
        <w:footnoteRef/>
      </w:r>
      <w:r>
        <w:t xml:space="preserve"> </w:t>
      </w:r>
      <w:proofErr w:type="spellStart"/>
      <w:r>
        <w:t>R.554</w:t>
      </w:r>
      <w:proofErr w:type="spellEnd"/>
      <w:r>
        <w:t xml:space="preserve"> at #5264.</w:t>
      </w:r>
    </w:p>
  </w:footnote>
  <w:footnote w:id="7">
    <w:p>
      <w:pPr>
        <w:pStyle w:val="FootnoteText"/>
        <w:jc w:val="both"/>
        <w:rPr>
          <w:rFonts w:ascii="Century Schoolbook" w:hAnsi="Century Schoolbook"/>
          <w:sz w:val="28"/>
          <w:szCs w:val="28"/>
        </w:rPr>
      </w:pPr>
      <w:r>
        <w:rPr>
          <w:rStyle w:val="FootnoteReference"/>
          <w:rFonts w:ascii="Century Schoolbook" w:hAnsi="Century Schoolbook"/>
          <w:sz w:val="28"/>
          <w:szCs w:val="28"/>
        </w:rPr>
        <w:footnoteRef/>
      </w:r>
      <w:r>
        <w:rPr>
          <w:rFonts w:ascii="Century Schoolbook" w:hAnsi="Century Schoolbook"/>
          <w:sz w:val="28"/>
          <w:szCs w:val="28"/>
        </w:rPr>
        <w:t xml:space="preserve"> </w:t>
      </w:r>
      <w:proofErr w:type="spellStart"/>
      <w:r>
        <w:rPr>
          <w:rFonts w:ascii="Century Schoolbook" w:hAnsi="Century Schoolbook"/>
          <w:sz w:val="28"/>
          <w:szCs w:val="28"/>
        </w:rPr>
        <w:t>R.671</w:t>
      </w:r>
      <w:proofErr w:type="spellEnd"/>
      <w:r>
        <w:rPr>
          <w:rFonts w:ascii="Century Schoolbook" w:hAnsi="Century Schoolbook"/>
          <w:sz w:val="28"/>
          <w:szCs w:val="28"/>
        </w:rPr>
        <w:t>, #7456-67.</w:t>
      </w:r>
    </w:p>
  </w:footnote>
  <w:footnote w:id="8">
    <w:p>
      <w:pPr>
        <w:pStyle w:val="FootnoteText"/>
      </w:pPr>
      <w:r>
        <w:rPr>
          <w:rStyle w:val="FootnoteReference"/>
        </w:rPr>
        <w:footnoteRef/>
      </w:r>
      <w:r>
        <w:t xml:space="preserve"> There was also no proof that </w:t>
      </w:r>
      <w:proofErr w:type="spellStart"/>
      <w:r>
        <w:t>Magers</w:t>
      </w:r>
      <w:proofErr w:type="spellEnd"/>
      <w:r>
        <w:t>, who over objection testified for the Government on rebuttal, was a conspirator</w:t>
      </w:r>
    </w:p>
  </w:footnote>
  <w:footnote w:id="9">
    <w:p>
      <w:pPr>
        <w:pStyle w:val="FootnoteText"/>
        <w:jc w:val="both"/>
        <w:rPr>
          <w:rFonts w:ascii="Century Schoolbook" w:hAnsi="Century Schoolbook"/>
          <w:sz w:val="28"/>
          <w:szCs w:val="28"/>
        </w:rPr>
      </w:pPr>
      <w:r>
        <w:rPr>
          <w:rStyle w:val="FootnoteReference"/>
          <w:rFonts w:ascii="Century Schoolbook" w:hAnsi="Century Schoolbook"/>
          <w:sz w:val="28"/>
          <w:szCs w:val="28"/>
        </w:rPr>
        <w:footnoteRef/>
      </w:r>
      <w:r>
        <w:rPr>
          <w:rFonts w:ascii="Century Schoolbook" w:hAnsi="Century Schoolbook"/>
          <w:sz w:val="28"/>
          <w:szCs w:val="28"/>
        </w:rPr>
        <w:t xml:space="preserve"> </w:t>
      </w:r>
      <w:proofErr w:type="spellStart"/>
      <w:r>
        <w:rPr>
          <w:rFonts w:ascii="Century Schoolbook" w:hAnsi="Century Schoolbook"/>
          <w:sz w:val="28"/>
          <w:szCs w:val="28"/>
        </w:rPr>
        <w:t>R.671</w:t>
      </w:r>
      <w:proofErr w:type="spellEnd"/>
      <w:r>
        <w:rPr>
          <w:rFonts w:ascii="Century Schoolbook" w:hAnsi="Century Schoolbook"/>
          <w:sz w:val="28"/>
          <w:szCs w:val="28"/>
        </w:rPr>
        <w:t>, #7452.</w:t>
      </w:r>
    </w:p>
  </w:footnote>
  <w:footnote w:id="10">
    <w:p>
      <w:pPr>
        <w:pStyle w:val="FootnoteText"/>
        <w:jc w:val="both"/>
        <w:rPr>
          <w:rFonts w:ascii="Century Schoolbook" w:hAnsi="Century Schoolbook"/>
          <w:sz w:val="28"/>
          <w:szCs w:val="28"/>
        </w:rPr>
      </w:pPr>
      <w:r>
        <w:rPr>
          <w:rStyle w:val="FootnoteReference"/>
          <w:rFonts w:ascii="Century Schoolbook" w:hAnsi="Century Schoolbook"/>
          <w:sz w:val="28"/>
          <w:szCs w:val="28"/>
        </w:rPr>
        <w:footnoteRef/>
      </w:r>
      <w:r>
        <w:rPr>
          <w:rFonts w:ascii="Century Schoolbook" w:hAnsi="Century Schoolbook"/>
          <w:sz w:val="28"/>
          <w:szCs w:val="28"/>
        </w:rPr>
        <w:t xml:space="preserve"> </w:t>
      </w:r>
      <w:r>
        <w:rPr>
          <w:rFonts w:ascii="Century Schoolbook" w:hAnsi="Century Schoolbook"/>
          <w:i/>
          <w:sz w:val="28"/>
          <w:szCs w:val="28"/>
        </w:rPr>
        <w:t>Id.</w:t>
      </w:r>
    </w:p>
  </w:footnote>
  <w:footnote w:id="11">
    <w:p>
      <w:pPr>
        <w:pStyle w:val="FootnoteText"/>
        <w:jc w:val="both"/>
        <w:rPr>
          <w:rFonts w:ascii="Century Schoolbook" w:hAnsi="Century Schoolbook"/>
          <w:sz w:val="28"/>
          <w:szCs w:val="28"/>
        </w:rPr>
      </w:pPr>
      <w:r>
        <w:rPr>
          <w:rStyle w:val="FootnoteReference"/>
          <w:rFonts w:ascii="Century Schoolbook" w:hAnsi="Century Schoolbook"/>
          <w:sz w:val="28"/>
          <w:szCs w:val="28"/>
        </w:rPr>
        <w:footnoteRef/>
      </w:r>
      <w:r>
        <w:rPr>
          <w:rFonts w:ascii="Century Schoolbook" w:hAnsi="Century Schoolbook"/>
          <w:sz w:val="28"/>
          <w:szCs w:val="28"/>
        </w:rPr>
        <w:t xml:space="preserve"> </w:t>
      </w:r>
      <w:proofErr w:type="spellStart"/>
      <w:r>
        <w:rPr>
          <w:rFonts w:ascii="Century Schoolbook" w:hAnsi="Century Schoolbook"/>
          <w:sz w:val="28"/>
          <w:szCs w:val="28"/>
        </w:rPr>
        <w:t>R.671</w:t>
      </w:r>
      <w:proofErr w:type="spellEnd"/>
      <w:r>
        <w:rPr>
          <w:rFonts w:ascii="Century Schoolbook" w:hAnsi="Century Schoolbook"/>
          <w:sz w:val="28"/>
          <w:szCs w:val="28"/>
        </w:rPr>
        <w:t>, #7456-7457.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D20B2-FFA8-4C9B-B84C-2F5BD23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yle 22"/>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tyle 22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Style 21"/>
    <w:basedOn w:val="DefaultParagraphFont"/>
    <w:uiPriority w:val="99"/>
    <w:unhideWhenUsed/>
    <w:rPr>
      <w:vertAlign w:val="superscript"/>
    </w:rPr>
  </w:style>
  <w:style w:type="table" w:customStyle="1" w:styleId="TableGrid1">
    <w:name w:val="Table Grid1"/>
    <w:basedOn w:val="TableNormal"/>
    <w:next w:val="TableGrid"/>
    <w:uiPriority w:val="59"/>
    <w:pPr>
      <w:spacing w:after="0" w:line="240" w:lineRule="auto"/>
    </w:pPr>
    <w:rPr>
      <w:rFonts w:ascii="Garamond" w:hAnsi="Garamond"/>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07B8-0DC9-4DD5-B67C-B0C6C28B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3341</Characters>
  <Application>Microsoft Office Word</Application>
  <DocSecurity>0</DocSecurity>
  <Lines>81</Lines>
  <Paragraphs>9</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Philip</dc:creator>
  <cp:keywords/>
  <dc:description/>
  <cp:lastModifiedBy>Cecil, Philip</cp:lastModifiedBy>
  <cp:revision>1</cp:revision>
  <dcterms:created xsi:type="dcterms:W3CDTF">2023-10-12T20:18:00Z</dcterms:created>
  <dcterms:modified xsi:type="dcterms:W3CDTF">2023-10-12T20:18:00Z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71916930</vt:i4>
  </property>
  <property fmtid="{D5CDD505-2E9C-101B-9397-08002B2CF9AE}" pid="3" name="_NewReviewCycle">
    <vt:lpwstr/>
  </property>
  <property fmtid="{D5CDD505-2E9C-101B-9397-08002B2CF9AE}" pid="4" name="_EmailSubject">
    <vt:lpwstr>Barnes</vt:lpwstr>
  </property>
  <property fmtid="{D5CDD505-2E9C-101B-9397-08002B2CF9AE}" pid="5" name="_AuthorEmail">
    <vt:lpwstr>Philip.Cecil@DINSMORE.COM</vt:lpwstr>
  </property>
  <property fmtid="{D5CDD505-2E9C-101B-9397-08002B2CF9AE}" pid="6" name="_AuthorEmailDisplayName">
    <vt:lpwstr>Cecil, Philip</vt:lpwstr>
  </property>
  <property fmtid="{D5CDD505-2E9C-101B-9397-08002B2CF9AE}" pid="7" name="_ReviewingToolsShownOnce">
    <vt:lpwstr/>
  </property>
</Properties>
</file>