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>
      <w:pPr>
        <w:spacing w:after="0" w:line="240" w:lineRule="auto"/>
        <w:ind w:left="1440" w:hanging="720"/>
        <w:contextualSpacing/>
        <w:jc w:val="both"/>
        <w:rPr>
          <w:rFonts w:ascii="Century Schoolbook" w:hAnsi="Century Schoolbook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sz w:val="28"/>
          <w:szCs w:val="28"/>
        </w:rPr>
        <w:t>B.</w:t>
      </w:r>
      <w:r>
        <w:rPr>
          <w:rFonts w:ascii="Century Schoolbook" w:hAnsi="Century Schoolbook" w:cs="Times New Roman"/>
          <w:b/>
          <w:sz w:val="28"/>
          <w:szCs w:val="28"/>
        </w:rPr>
        <w:tab/>
        <w:t>As a matter of law</w:t>
      </w:r>
      <w:r>
        <w:rPr>
          <w:rFonts w:ascii="Century Schoolbook" w:hAnsi="Century Schoolbook" w:cs="Times New Roman"/>
          <w:b/>
          <w:sz w:val="28"/>
          <w:szCs w:val="28"/>
        </w:rPr>
        <w:t xml:space="preserve"> the Emperor program was not a pyramid scheme, and the evidence was insufficient to support a conviction.</w:t>
      </w:r>
    </w:p>
    <w:p>
      <w:pPr>
        <w:spacing w:after="0" w:line="240" w:lineRule="auto"/>
        <w:ind w:left="1440" w:hanging="720"/>
        <w:contextualSpacing/>
        <w:jc w:val="both"/>
        <w:rPr>
          <w:rFonts w:ascii="Century Schoolbook" w:hAnsi="Century Schoolbook" w:cs="Times New Roman"/>
          <w:b/>
          <w:sz w:val="28"/>
          <w:szCs w:val="28"/>
        </w:rPr>
      </w:pPr>
    </w:p>
    <w:p>
      <w:pPr>
        <w:spacing w:after="0" w:line="480" w:lineRule="auto"/>
        <w:ind w:firstLine="720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>The Government conceded that “saturation (and thus anti-saturation) is not at issue in this case.”</w:t>
      </w:r>
      <w:r>
        <w:rPr>
          <w:rFonts w:ascii="Century Schoolbook" w:hAnsi="Century Schoolbook"/>
          <w:sz w:val="28"/>
          <w:szCs w:val="28"/>
        </w:rPr>
        <w:t xml:space="preserve"> (</w:t>
      </w:r>
      <w:r>
        <w:rPr>
          <w:rFonts w:ascii="Century Schoolbook" w:hAnsi="Century Schoolbook"/>
          <w:sz w:val="28"/>
          <w:szCs w:val="28"/>
        </w:rPr>
        <w:t>R.381</w:t>
      </w:r>
      <w:r>
        <w:rPr>
          <w:rFonts w:ascii="Century Schoolbook" w:hAnsi="Century Schoolbook"/>
          <w:sz w:val="28"/>
          <w:szCs w:val="28"/>
        </w:rPr>
        <w:t>, #2922).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For the Emperor program, “saturation is not the problem.” (</w:t>
      </w:r>
      <w:r>
        <w:rPr>
          <w:rFonts w:ascii="Century Schoolbook" w:hAnsi="Century Schoolbook"/>
          <w:i/>
          <w:sz w:val="28"/>
          <w:szCs w:val="28"/>
        </w:rPr>
        <w:t>Id.</w:t>
      </w:r>
      <w:r>
        <w:rPr>
          <w:rFonts w:ascii="Century Schoolbook" w:hAnsi="Century Schoolbook"/>
          <w:sz w:val="28"/>
          <w:szCs w:val="28"/>
        </w:rPr>
        <w:t xml:space="preserve"> at #2923).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The Government conceded that the Emperor program was different from </w:t>
      </w:r>
      <w:r>
        <w:rPr>
          <w:rFonts w:ascii="Century Schoolbook" w:eastAsia="Times New Roman" w:hAnsi="Century Schoolbook" w:cs="Times New Roman"/>
          <w:i/>
          <w:sz w:val="28"/>
          <w:szCs w:val="28"/>
        </w:rPr>
        <w:t>Gold</w:t>
      </w:r>
      <w:r>
        <w:rPr>
          <w:rFonts w:ascii="Century Schoolbook" w:eastAsia="Times New Roman" w:hAnsi="Century Schoolbook" w:cs="Times New Roman"/>
          <w:sz w:val="28"/>
          <w:szCs w:val="28"/>
        </w:rPr>
        <w:t>: “Unlike in Gold Unlimited, the United States has no plans to present a witness to testify on the dangers of market saturation” or “argue that ‘the laws of geometrical progression would make it impossible to recruit continually since inevitably a point of saturation would be reached.’”</w:t>
      </w:r>
      <w:r>
        <w:rPr>
          <w:rFonts w:ascii="Century Schoolbook" w:hAnsi="Century Schoolbook"/>
          <w:i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(</w:t>
      </w:r>
      <w:r>
        <w:rPr>
          <w:rFonts w:ascii="Century Schoolbook" w:hAnsi="Century Schoolbook"/>
          <w:i/>
          <w:sz w:val="28"/>
          <w:szCs w:val="28"/>
        </w:rPr>
        <w:t>Id.</w:t>
      </w:r>
      <w:r>
        <w:rPr>
          <w:rFonts w:ascii="Century Schoolbook" w:hAnsi="Century Schoolbook"/>
          <w:sz w:val="28"/>
          <w:szCs w:val="28"/>
        </w:rPr>
        <w:t>)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The Emperor program had no market-saturation concerns. As such, it was not a pyramid scheme as a matter of law.</w:t>
      </w:r>
    </w:p>
    <w:p>
      <w:pPr>
        <w:spacing w:after="0" w:line="480" w:lineRule="auto"/>
        <w:ind w:firstLine="720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 xml:space="preserve">The material facts concerning the Emperor program were undisputed. </w:t>
      </w:r>
      <w:r>
        <w:rPr>
          <w:rFonts w:ascii="Century Schoolbook" w:eastAsia="Times New Roman" w:hAnsi="Century Schoolbook" w:cs="Times New Roman"/>
          <w:sz w:val="28"/>
          <w:szCs w:val="28"/>
        </w:rPr>
        <w:t>I2G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limited the sale of Emperor </w:t>
      </w:r>
      <w:r>
        <w:rPr>
          <w:rFonts w:ascii="Century Schoolbook" w:eastAsia="Times New Roman" w:hAnsi="Century Schoolbook" w:cs="Times New Roman"/>
          <w:sz w:val="28"/>
          <w:szCs w:val="28"/>
        </w:rPr>
        <w:t>packages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to 5,000. In exchange for $5,000, Emperors 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 xml:space="preserve">received three things–the right to receive as ultimate users 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>I2G’s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 xml:space="preserve"> current and future digital products, the right to share in profits and commissions from ultimate users of the casino, and the right to participate in 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>I2G’s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 xml:space="preserve"> pay plan, which rewarded selling 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>I2G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 xml:space="preserve"> packages to others and selling products to non-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>I2G</w:t>
      </w:r>
      <w:r>
        <w:rPr>
          <w:rFonts w:ascii="Century Schoolbook" w:hAnsi="Century Schoolbook" w:cs="Times New Roman"/>
          <w:color w:val="212121"/>
          <w:sz w:val="28"/>
          <w:szCs w:val="28"/>
          <w:shd w:val="clear" w:color="auto" w:fill="FFFFFF"/>
        </w:rPr>
        <w:t xml:space="preserve"> participants. </w:t>
      </w:r>
    </w:p>
    <w:p>
      <w:pPr>
        <w:spacing w:after="0" w:line="480" w:lineRule="auto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ab/>
        <w:t>The Emperor program was not doomed to fail because of a dependency on endless recruitment unrelated to the sale of products to ultimate users. Promotions of the Emperor packages stressed the potential for earning money without the need to recruit. (</w:t>
      </w:r>
      <w:r>
        <w:rPr>
          <w:rFonts w:ascii="Century Schoolbook" w:hAnsi="Century Schoolbook"/>
          <w:i/>
          <w:sz w:val="28"/>
          <w:szCs w:val="28"/>
        </w:rPr>
        <w:t xml:space="preserve">See, e.g. </w:t>
      </w:r>
      <w:r>
        <w:rPr>
          <w:rFonts w:ascii="Century Schoolbook" w:hAnsi="Century Schoolbook"/>
          <w:sz w:val="28"/>
          <w:szCs w:val="28"/>
        </w:rPr>
        <w:t>R.682</w:t>
      </w:r>
      <w:r>
        <w:rPr>
          <w:rFonts w:ascii="Century Schoolbook" w:hAnsi="Century Schoolbook"/>
          <w:sz w:val="28"/>
          <w:szCs w:val="28"/>
        </w:rPr>
        <w:t xml:space="preserve">, #8504; U.S. </w:t>
      </w:r>
      <w:r>
        <w:rPr>
          <w:rFonts w:ascii="Century Schoolbook" w:hAnsi="Century Schoolbook"/>
          <w:sz w:val="28"/>
          <w:szCs w:val="28"/>
        </w:rPr>
        <w:t>Ex.107a</w:t>
      </w:r>
      <w:r>
        <w:rPr>
          <w:rFonts w:ascii="Century Schoolbook" w:hAnsi="Century Schoolbook"/>
          <w:sz w:val="28"/>
          <w:szCs w:val="28"/>
        </w:rPr>
        <w:t xml:space="preserve">; </w:t>
      </w:r>
      <w:r>
        <w:rPr>
          <w:rFonts w:ascii="Century Schoolbook" w:hAnsi="Century Schoolbook"/>
          <w:sz w:val="28"/>
          <w:szCs w:val="28"/>
        </w:rPr>
        <w:t>R.504</w:t>
      </w:r>
      <w:r>
        <w:rPr>
          <w:rFonts w:ascii="Century Schoolbook" w:hAnsi="Century Schoolbook"/>
          <w:sz w:val="28"/>
          <w:szCs w:val="28"/>
        </w:rPr>
        <w:t>, #4404.)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Several Emperors testified at trial that the reason they purchased was </w:t>
      </w:r>
      <w:r>
        <w:rPr>
          <w:rFonts w:ascii="Century Schoolbook" w:eastAsia="Times New Roman" w:hAnsi="Century Schoolbook" w:cs="Times New Roman"/>
          <w:sz w:val="28"/>
          <w:szCs w:val="28"/>
        </w:rPr>
        <w:t>because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there was no requirement to recruit. (</w:t>
      </w:r>
      <w:r>
        <w:rPr>
          <w:rFonts w:ascii="Century Schoolbook" w:hAnsi="Century Schoolbook"/>
          <w:i/>
          <w:sz w:val="28"/>
          <w:szCs w:val="28"/>
        </w:rPr>
        <w:t>See, e.g.</w:t>
      </w:r>
      <w:r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R.667</w:t>
      </w:r>
      <w:r>
        <w:rPr>
          <w:rFonts w:ascii="Century Schoolbook" w:hAnsi="Century Schoolbook"/>
          <w:sz w:val="28"/>
          <w:szCs w:val="28"/>
        </w:rPr>
        <w:t xml:space="preserve">, #6724; </w:t>
      </w:r>
      <w:r>
        <w:rPr>
          <w:rFonts w:ascii="Century Schoolbook" w:hAnsi="Century Schoolbook"/>
          <w:sz w:val="28"/>
          <w:szCs w:val="28"/>
        </w:rPr>
        <w:t>R.512</w:t>
      </w:r>
      <w:r>
        <w:rPr>
          <w:rFonts w:ascii="Century Schoolbook" w:hAnsi="Century Schoolbook"/>
          <w:sz w:val="28"/>
          <w:szCs w:val="28"/>
        </w:rPr>
        <w:t xml:space="preserve">, #4975; </w:t>
      </w:r>
      <w:r>
        <w:rPr>
          <w:rFonts w:ascii="Century Schoolbook" w:hAnsi="Century Schoolbook"/>
          <w:sz w:val="28"/>
          <w:szCs w:val="28"/>
        </w:rPr>
        <w:t>R.669</w:t>
      </w:r>
      <w:r>
        <w:rPr>
          <w:rFonts w:ascii="Century Schoolbook" w:hAnsi="Century Schoolbook"/>
          <w:sz w:val="28"/>
          <w:szCs w:val="28"/>
        </w:rPr>
        <w:t xml:space="preserve">, #6862, #6948; </w:t>
      </w:r>
      <w:r>
        <w:rPr>
          <w:rFonts w:ascii="Century Schoolbook" w:hAnsi="Century Schoolbook"/>
          <w:sz w:val="28"/>
          <w:szCs w:val="28"/>
        </w:rPr>
        <w:t>R.683</w:t>
      </w:r>
      <w:r>
        <w:rPr>
          <w:rFonts w:ascii="Century Schoolbook" w:hAnsi="Century Schoolbook"/>
          <w:sz w:val="28"/>
          <w:szCs w:val="28"/>
        </w:rPr>
        <w:t xml:space="preserve">, #8668-69, 8704).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The de-emphasis on recruiting </w:t>
      </w:r>
      <w:r>
        <w:rPr>
          <w:rFonts w:ascii="Century Schoolbook" w:eastAsia="Times New Roman" w:hAnsi="Century Schoolbook" w:cs="Times New Roman"/>
          <w:sz w:val="28"/>
          <w:szCs w:val="28"/>
        </w:rPr>
        <w:t>was reflected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in limiting the number of Emperors to 5,000. </w:t>
      </w:r>
    </w:p>
    <w:p>
      <w:pPr>
        <w:spacing w:after="0" w:line="480" w:lineRule="auto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ab/>
        <w:t xml:space="preserve">The program offered three categories of value that were not dependent on endless recruitment. First, the company would provide current and future digital products that </w:t>
      </w:r>
      <w:r>
        <w:rPr>
          <w:rFonts w:ascii="Century Schoolbook" w:eastAsia="Times New Roman" w:hAnsi="Century Schoolbook" w:cs="Times New Roman"/>
          <w:sz w:val="28"/>
          <w:szCs w:val="28"/>
        </w:rPr>
        <w:t>IBO’s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would be willing to pay for. As Retired Lt. Colonel Glen Logan testified, what interested him most about the Emperor package was “the opportunity to…get a master license, and access all…current and future products.” (</w:t>
      </w:r>
      <w:r>
        <w:rPr>
          <w:rFonts w:ascii="Century Schoolbook" w:hAnsi="Century Schoolbook"/>
          <w:sz w:val="28"/>
          <w:szCs w:val="28"/>
        </w:rPr>
        <w:t>R.701</w:t>
      </w:r>
      <w:r>
        <w:rPr>
          <w:rFonts w:ascii="Century Schoolbook" w:hAnsi="Century Schoolbook"/>
          <w:sz w:val="28"/>
          <w:szCs w:val="28"/>
        </w:rPr>
        <w:t xml:space="preserve">, #10889).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This aspect of the plan </w:t>
      </w:r>
      <w:r>
        <w:rPr>
          <w:rFonts w:ascii="Century Schoolbook" w:eastAsia="Times New Roman" w:hAnsi="Century Schoolbook" w:cs="Times New Roman"/>
          <w:sz w:val="28"/>
          <w:szCs w:val="28"/>
        </w:rPr>
        <w:t>was implemented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. Products </w:t>
      </w:r>
      <w:r>
        <w:rPr>
          <w:rFonts w:ascii="Century Schoolbook" w:eastAsia="Times New Roman" w:hAnsi="Century Schoolbook" w:cs="Times New Roman"/>
          <w:sz w:val="28"/>
          <w:szCs w:val="28"/>
        </w:rPr>
        <w:t>were actually provided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and included the </w:t>
      </w:r>
      <w:r>
        <w:rPr>
          <w:rFonts w:ascii="Century Schoolbook" w:eastAsia="Times New Roman" w:hAnsi="Century Schoolbook" w:cs="Times New Roman"/>
          <w:sz w:val="28"/>
          <w:szCs w:val="28"/>
        </w:rPr>
        <w:t>I2G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Touch, the online casino, </w:t>
      </w:r>
      <w:r>
        <w:rPr>
          <w:rFonts w:ascii="Century Schoolbook" w:eastAsia="Times New Roman" w:hAnsi="Century Schoolbook" w:cs="Times New Roman"/>
          <w:sz w:val="28"/>
          <w:szCs w:val="28"/>
        </w:rPr>
        <w:t>Songstergram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, the </w:t>
      </w:r>
      <w:r>
        <w:rPr>
          <w:rFonts w:ascii="Century Schoolbook" w:eastAsia="Times New Roman" w:hAnsi="Century Schoolbook" w:cs="Times New Roman"/>
          <w:sz w:val="28"/>
          <w:szCs w:val="28"/>
        </w:rPr>
        <w:t>G1E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Touch, Fantasy Sports, </w:t>
      </w:r>
      <w:r>
        <w:rPr>
          <w:rFonts w:ascii="Century Schoolbook" w:eastAsia="Times New Roman" w:hAnsi="Century Schoolbook" w:cs="Times New Roman"/>
          <w:sz w:val="28"/>
          <w:szCs w:val="28"/>
        </w:rPr>
        <w:t>G1E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Boardwalk, and International </w:t>
      </w:r>
      <w:r>
        <w:rPr>
          <w:rFonts w:ascii="Century Schoolbook" w:eastAsia="Times New Roman" w:hAnsi="Century Schoolbook" w:cs="Times New Roman"/>
          <w:sz w:val="28"/>
          <w:szCs w:val="28"/>
        </w:rPr>
        <w:t>Vacation. (</w:t>
      </w:r>
      <w:r>
        <w:rPr>
          <w:rFonts w:ascii="Century Schoolbook" w:hAnsi="Century Schoolbook"/>
          <w:sz w:val="28"/>
          <w:szCs w:val="28"/>
        </w:rPr>
        <w:t>R.690</w:t>
      </w:r>
      <w:r>
        <w:rPr>
          <w:rFonts w:ascii="Century Schoolbook" w:hAnsi="Century Schoolbook"/>
          <w:sz w:val="28"/>
          <w:szCs w:val="28"/>
        </w:rPr>
        <w:t xml:space="preserve"> #9467-68, 9498, 9454-57).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The success of subscription-based access to digital products is not dependent on endless recruitment. </w:t>
      </w:r>
    </w:p>
    <w:p>
      <w:pPr>
        <w:spacing w:after="0" w:line="480" w:lineRule="auto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ab/>
        <w:t xml:space="preserve">Second, </w:t>
      </w:r>
      <w:r>
        <w:rPr>
          <w:rFonts w:ascii="Century Schoolbook" w:eastAsia="Times New Roman" w:hAnsi="Century Schoolbook" w:cs="Times New Roman"/>
          <w:sz w:val="28"/>
          <w:szCs w:val="28"/>
        </w:rPr>
        <w:t>I2G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established avenues for sales to non-</w:t>
      </w:r>
      <w:r>
        <w:rPr>
          <w:rFonts w:ascii="Century Schoolbook" w:eastAsia="Times New Roman" w:hAnsi="Century Schoolbook" w:cs="Times New Roman"/>
          <w:sz w:val="28"/>
          <w:szCs w:val="28"/>
        </w:rPr>
        <w:t>IBOs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that generated revenue for Emperors through the compensation plan. Emperors earned money by selling products to non-IBO customers. For example, compensation </w:t>
      </w:r>
      <w:r>
        <w:rPr>
          <w:rFonts w:ascii="Century Schoolbook" w:eastAsia="Times New Roman" w:hAnsi="Century Schoolbook" w:cs="Times New Roman"/>
          <w:sz w:val="28"/>
          <w:szCs w:val="28"/>
        </w:rPr>
        <w:t>was earned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when customers spent money to play the casino, use of fantasy sports product, and use of the travel product. Success distributing products and services was not dependent on “endless recruitment.”</w:t>
      </w:r>
    </w:p>
    <w:p>
      <w:pPr>
        <w:spacing w:after="0" w:line="480" w:lineRule="auto"/>
        <w:contextualSpacing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ab/>
        <w:t>Third, Emperors were entitled to rec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eive fifty percent of the casino profits that </w:t>
      </w:r>
      <w:r>
        <w:rPr>
          <w:rFonts w:ascii="Century Schoolbook" w:eastAsia="Times New Roman" w:hAnsi="Century Schoolbook" w:cs="Times New Roman"/>
          <w:sz w:val="28"/>
          <w:szCs w:val="28"/>
        </w:rPr>
        <w:t>I2G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received. The success of the casino was dependent on consumer use of the casino, not “endless recruitment.”</w:t>
      </w:r>
    </w:p>
    <w:p>
      <w:pPr>
        <w:spacing w:after="0" w:line="48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</w:rPr>
        <w:tab/>
        <w:t xml:space="preserve">The </w:t>
      </w:r>
      <w:r>
        <w:rPr>
          <w:rFonts w:ascii="Century Schoolbook" w:eastAsia="Times New Roman" w:hAnsi="Century Schoolbook" w:cs="Times New Roman"/>
          <w:sz w:val="28"/>
          <w:szCs w:val="28"/>
        </w:rPr>
        <w:t>Government’s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proof that the sale of Emperor packages was a pyramid scheme was insufficient. Moreover, </w:t>
      </w:r>
      <w:r>
        <w:rPr>
          <w:rFonts w:ascii="Century Schoolbook" w:eastAsia="Times New Roman" w:hAnsi="Century Schoolbook" w:cs="Times New Roman"/>
          <w:sz w:val="28"/>
          <w:szCs w:val="28"/>
        </w:rPr>
        <w:t>I2G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had a refund policy, which is antithetical to a pyramid scheme. </w:t>
      </w:r>
      <w:r>
        <w:rPr>
          <w:rFonts w:ascii="Century Schoolbook" w:eastAsia="Times New Roman" w:hAnsi="Century Schoolbook" w:cs="Times New Roman"/>
          <w:i/>
          <w:sz w:val="28"/>
          <w:szCs w:val="28"/>
        </w:rPr>
        <w:t>See, e.g. U.S. v. Woolf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, No. </w:t>
      </w:r>
      <w:r>
        <w:rPr>
          <w:rFonts w:ascii="Century Schoolbook" w:eastAsia="Times New Roman" w:hAnsi="Century Schoolbook" w:cs="Times New Roman"/>
          <w:sz w:val="28"/>
          <w:szCs w:val="28"/>
        </w:rPr>
        <w:t>1:08cr12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, 2009 U.S. Dist. LEXIS 98857, at *37-39 (E.D. Va. Oct. 23, 2009). </w:t>
      </w:r>
    </w:p>
    <w:p/>
    <w:sectPr>
      <w:footerReference w:type="defaul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tab w:relativeTo="margin" w:alignment="center" w:leader="none"/>
    </w:r>
    <w:r>
      <w:rPr>
        <w:rStyle w:val="PageNumber"/>
        <w:rFonts w:ascii="Century Schoolbook" w:hAnsi="Century Schoolbook"/>
        <w:sz w:val="28"/>
        <w:szCs w:val="28"/>
      </w:rPr>
      <w:fldChar w:fldCharType="begin"/>
    </w:r>
    <w:r>
      <w:rPr>
        <w:rStyle w:val="PageNumber"/>
        <w:rFonts w:ascii="Century Schoolbook" w:hAnsi="Century Schoolbook"/>
        <w:sz w:val="28"/>
        <w:szCs w:val="28"/>
      </w:rPr>
      <w:instrText xml:space="preserve"> PAGE  \* MERGEFORMAT </w:instrText>
    </w:r>
    <w:r>
      <w:rPr>
        <w:rStyle w:val="PageNumber"/>
        <w:rFonts w:ascii="Century Schoolbook" w:hAnsi="Century Schoolbook"/>
        <w:sz w:val="28"/>
        <w:szCs w:val="28"/>
      </w:rPr>
      <w:fldChar w:fldCharType="separate"/>
    </w:r>
    <w:r>
      <w:rPr>
        <w:rStyle w:val="PageNumber"/>
        <w:rFonts w:ascii="Century Schoolbook" w:hAnsi="Century Schoolbook"/>
        <w:noProof/>
        <w:sz w:val="28"/>
        <w:szCs w:val="28"/>
      </w:rPr>
      <w:t>3</w:t>
    </w:r>
    <w:r>
      <w:rPr>
        <w:rStyle w:val="PageNumber"/>
        <w:rFonts w:ascii="Century Schoolbook" w:hAnsi="Century Schoolbook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8BF408-FC22-40D6-8DCC-AC2CFFCA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unhideWhenUsed/>
    <w:rPr>
      <w:rFonts w:asciiTheme="minorHAnsi" w:hAnsiTheme="minorHAnsi" w:cs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565</Words>
  <Characters>2947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2023-10-26T03:28:01Z</dcterms:created>
  <dcterms:modified xsi:type="dcterms:W3CDTF">2023-10-26T03:28:01Z</dcterms:modified>
</cp:coreProperties>
</file>