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CD96"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b/>
          <w:bCs/>
          <w:color w:val="000000"/>
          <w:sz w:val="28"/>
          <w:szCs w:val="28"/>
        </w:rPr>
        <w:t>Neora Court Insights</w:t>
      </w:r>
    </w:p>
    <w:p w14:paraId="59E1E010"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495DA738"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000000"/>
          <w:sz w:val="28"/>
          <w:szCs w:val="28"/>
        </w:rPr>
        <w:t xml:space="preserve">Upon reviewing the Neora Court Opinion and its comprehensive analysis of case precedents and the appropriate legal standards for multi-level marketing (MLM), particularly regarding internal consumption, it becomes clear that the I2G Court failed to apply the correct standards to determine whether it was a pyramid scheme as opposed to another MLM company. Every MLM relies on "internal consumption" to expand its business. However, the I2G Court allowed the government expert and the prosecution to instruct the jury that "internal consumption" was illegitimate. By disregarding the "legal MLM standard," the conviction effectively labeled every MLM company in America as an illegal pyramid scheme.  The prosecution misrepresented the law to a jury with no background in </w:t>
      </w:r>
      <w:proofErr w:type="spellStart"/>
      <w:r w:rsidRPr="0082474A">
        <w:rPr>
          <w:rFonts w:ascii="Arial" w:eastAsia="Times New Roman" w:hAnsi="Arial" w:cs="Arial"/>
          <w:color w:val="000000"/>
          <w:sz w:val="28"/>
          <w:szCs w:val="28"/>
        </w:rPr>
        <w:t>mlm</w:t>
      </w:r>
      <w:proofErr w:type="spellEnd"/>
      <w:r w:rsidRPr="0082474A">
        <w:rPr>
          <w:rFonts w:ascii="Arial" w:eastAsia="Times New Roman" w:hAnsi="Arial" w:cs="Arial"/>
          <w:color w:val="000000"/>
          <w:sz w:val="28"/>
          <w:szCs w:val="28"/>
        </w:rPr>
        <w:t>, and the Court refused the proper instructions to correct it.</w:t>
      </w:r>
    </w:p>
    <w:p w14:paraId="28E4EE48"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000000"/>
          <w:sz w:val="28"/>
          <w:szCs w:val="28"/>
        </w:rPr>
        <w:t>The proper legal standard that cleared Neora of pyramid scheme allegations was not afforded to the I2G defendants. The instructions and definitions left the jury no clear way to differentiate a pyramid scheme from any other MLM company. This precedent potentially implicates twenty million individuals who engage in MLM.</w:t>
      </w:r>
    </w:p>
    <w:p w14:paraId="7195F8F3" w14:textId="77777777" w:rsidR="0082474A" w:rsidRPr="0082474A" w:rsidRDefault="0082474A" w:rsidP="0082474A">
      <w:pPr>
        <w:spacing w:after="0" w:line="240" w:lineRule="auto"/>
        <w:rPr>
          <w:rFonts w:ascii="Times New Roman" w:eastAsia="Times New Roman" w:hAnsi="Times New Roman" w:cs="Times New Roman"/>
          <w:sz w:val="24"/>
          <w:szCs w:val="24"/>
        </w:rPr>
      </w:pPr>
      <w:r w:rsidRPr="0082474A">
        <w:rPr>
          <w:rFonts w:ascii="Arial" w:eastAsia="Times New Roman" w:hAnsi="Arial" w:cs="Arial"/>
          <w:color w:val="000000"/>
          <w:sz w:val="28"/>
          <w:szCs w:val="28"/>
        </w:rPr>
        <w:t>After thoroughly reviewing the extensive information provided by Neora,</w:t>
      </w:r>
      <w:r w:rsidRPr="0082474A">
        <w:rPr>
          <w:rFonts w:ascii="Arial" w:eastAsia="Times New Roman" w:hAnsi="Arial" w:cs="Arial"/>
          <w:color w:val="222222"/>
          <w:sz w:val="28"/>
          <w:szCs w:val="28"/>
        </w:rPr>
        <w:t xml:space="preserve"> </w:t>
      </w:r>
      <w:r w:rsidRPr="0082474A">
        <w:rPr>
          <w:rFonts w:ascii="Arial" w:eastAsia="Times New Roman" w:hAnsi="Arial" w:cs="Arial"/>
          <w:color w:val="000000"/>
          <w:sz w:val="28"/>
          <w:szCs w:val="28"/>
        </w:rPr>
        <w:t>as well as the Federal Trade Commission (FTC) and relevant case law—including</w:t>
      </w:r>
      <w:r w:rsidRPr="0082474A">
        <w:rPr>
          <w:rFonts w:ascii="Arial" w:eastAsia="Times New Roman" w:hAnsi="Arial" w:cs="Arial"/>
          <w:color w:val="222222"/>
          <w:sz w:val="28"/>
          <w:szCs w:val="28"/>
        </w:rPr>
        <w:t xml:space="preserve"> </w:t>
      </w:r>
      <w:r w:rsidRPr="0082474A">
        <w:rPr>
          <w:rFonts w:ascii="Arial" w:eastAsia="Times New Roman" w:hAnsi="Arial" w:cs="Arial"/>
          <w:color w:val="000000"/>
          <w:sz w:val="28"/>
          <w:szCs w:val="28"/>
        </w:rPr>
        <w:t xml:space="preserve">the </w:t>
      </w:r>
      <w:proofErr w:type="spellStart"/>
      <w:r w:rsidRPr="0082474A">
        <w:rPr>
          <w:rFonts w:ascii="Arial" w:eastAsia="Times New Roman" w:hAnsi="Arial" w:cs="Arial"/>
          <w:color w:val="000000"/>
          <w:sz w:val="28"/>
          <w:szCs w:val="28"/>
        </w:rPr>
        <w:t>Koskot</w:t>
      </w:r>
      <w:proofErr w:type="spellEnd"/>
      <w:r w:rsidRPr="0082474A">
        <w:rPr>
          <w:rFonts w:ascii="Arial" w:eastAsia="Times New Roman" w:hAnsi="Arial" w:cs="Arial"/>
          <w:color w:val="000000"/>
          <w:sz w:val="28"/>
          <w:szCs w:val="28"/>
        </w:rPr>
        <w:t xml:space="preserve"> decision and FTC</w:t>
      </w:r>
      <w:r w:rsidRPr="0082474A">
        <w:rPr>
          <w:rFonts w:ascii="Arial" w:eastAsia="Times New Roman" w:hAnsi="Arial" w:cs="Arial"/>
          <w:color w:val="222222"/>
          <w:sz w:val="28"/>
          <w:szCs w:val="28"/>
        </w:rPr>
        <w:t xml:space="preserve"> </w:t>
      </w:r>
      <w:r w:rsidRPr="0082474A">
        <w:rPr>
          <w:rFonts w:ascii="Arial" w:eastAsia="Times New Roman" w:hAnsi="Arial" w:cs="Arial"/>
          <w:color w:val="000000"/>
          <w:sz w:val="28"/>
          <w:szCs w:val="28"/>
        </w:rPr>
        <w:t>guidance—the court</w:t>
      </w:r>
      <w:r w:rsidRPr="0082474A">
        <w:rPr>
          <w:rFonts w:ascii="Arial" w:eastAsia="Times New Roman" w:hAnsi="Arial" w:cs="Arial"/>
          <w:color w:val="222222"/>
          <w:sz w:val="28"/>
          <w:szCs w:val="28"/>
        </w:rPr>
        <w:t xml:space="preserve"> </w:t>
      </w:r>
      <w:r w:rsidRPr="0082474A">
        <w:rPr>
          <w:rFonts w:ascii="Arial" w:eastAsia="Times New Roman" w:hAnsi="Arial" w:cs="Arial"/>
          <w:color w:val="000000"/>
          <w:sz w:val="28"/>
          <w:szCs w:val="28"/>
        </w:rPr>
        <w:t>determined</w:t>
      </w:r>
      <w:r w:rsidRPr="0082474A">
        <w:rPr>
          <w:rFonts w:ascii="Arial" w:eastAsia="Times New Roman" w:hAnsi="Arial" w:cs="Arial"/>
          <w:color w:val="222222"/>
          <w:sz w:val="28"/>
          <w:szCs w:val="28"/>
        </w:rPr>
        <w:t xml:space="preserve"> </w:t>
      </w:r>
      <w:r w:rsidRPr="0082474A">
        <w:rPr>
          <w:rFonts w:ascii="Arial" w:eastAsia="Times New Roman" w:hAnsi="Arial" w:cs="Arial"/>
          <w:color w:val="000000"/>
          <w:sz w:val="28"/>
          <w:szCs w:val="28"/>
        </w:rPr>
        <w:t>that</w:t>
      </w:r>
      <w:r w:rsidRPr="0082474A">
        <w:rPr>
          <w:rFonts w:ascii="Arial" w:eastAsia="Times New Roman" w:hAnsi="Arial" w:cs="Arial"/>
          <w:color w:val="222222"/>
          <w:sz w:val="28"/>
          <w:szCs w:val="28"/>
        </w:rPr>
        <w:t xml:space="preserve"> </w:t>
      </w:r>
      <w:r w:rsidRPr="0082474A">
        <w:rPr>
          <w:rFonts w:ascii="Arial" w:eastAsia="Times New Roman" w:hAnsi="Arial" w:cs="Arial"/>
          <w:color w:val="000000"/>
          <w:sz w:val="28"/>
          <w:szCs w:val="28"/>
        </w:rPr>
        <w:t>Neora</w:t>
      </w:r>
      <w:r w:rsidRPr="0082474A">
        <w:rPr>
          <w:rFonts w:ascii="Arial" w:eastAsia="Times New Roman" w:hAnsi="Arial" w:cs="Arial"/>
          <w:color w:val="222222"/>
          <w:sz w:val="28"/>
          <w:szCs w:val="28"/>
        </w:rPr>
        <w:t xml:space="preserve"> </w:t>
      </w:r>
      <w:r w:rsidRPr="0082474A">
        <w:rPr>
          <w:rFonts w:ascii="Arial" w:eastAsia="Times New Roman" w:hAnsi="Arial" w:cs="Arial"/>
          <w:color w:val="000000"/>
          <w:sz w:val="28"/>
          <w:szCs w:val="28"/>
        </w:rPr>
        <w:t>did not qualify as an illegal pyramid scheme</w:t>
      </w:r>
      <w:r w:rsidRPr="0082474A">
        <w:rPr>
          <w:rFonts w:ascii="Arial" w:eastAsia="Times New Roman" w:hAnsi="Arial" w:cs="Arial"/>
          <w:color w:val="222222"/>
          <w:sz w:val="28"/>
          <w:szCs w:val="28"/>
        </w:rPr>
        <w:t xml:space="preserve"> </w:t>
      </w:r>
      <w:r w:rsidRPr="0082474A">
        <w:rPr>
          <w:rFonts w:ascii="Arial" w:eastAsia="Times New Roman" w:hAnsi="Arial" w:cs="Arial"/>
          <w:color w:val="000000"/>
          <w:sz w:val="28"/>
          <w:szCs w:val="28"/>
        </w:rPr>
        <w:t>under</w:t>
      </w:r>
      <w:r w:rsidRPr="0082474A">
        <w:rPr>
          <w:rFonts w:ascii="Arial" w:eastAsia="Times New Roman" w:hAnsi="Arial" w:cs="Arial"/>
          <w:color w:val="222222"/>
          <w:sz w:val="28"/>
          <w:szCs w:val="28"/>
        </w:rPr>
        <w:t xml:space="preserve"> § 15 of the FTC Act. </w:t>
      </w:r>
    </w:p>
    <w:p w14:paraId="217C7658" w14:textId="77777777" w:rsidR="0082474A" w:rsidRPr="0082474A" w:rsidRDefault="0082474A" w:rsidP="0082474A">
      <w:pPr>
        <w:spacing w:after="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w:t>
      </w:r>
    </w:p>
    <w:p w14:paraId="3ED4CF62" w14:textId="77777777" w:rsidR="0082474A" w:rsidRPr="0082474A" w:rsidRDefault="0082474A" w:rsidP="0082474A">
      <w:pPr>
        <w:spacing w:after="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The Neora court's </w:t>
      </w:r>
      <w:proofErr w:type="spellStart"/>
      <w:r w:rsidRPr="0082474A">
        <w:rPr>
          <w:rFonts w:ascii="Arial" w:eastAsia="Times New Roman" w:hAnsi="Arial" w:cs="Arial"/>
          <w:color w:val="222222"/>
          <w:sz w:val="28"/>
          <w:szCs w:val="28"/>
        </w:rPr>
        <w:t>Koskot</w:t>
      </w:r>
      <w:proofErr w:type="spellEnd"/>
      <w:r w:rsidRPr="0082474A">
        <w:rPr>
          <w:rFonts w:ascii="Arial" w:eastAsia="Times New Roman" w:hAnsi="Arial" w:cs="Arial"/>
          <w:color w:val="222222"/>
          <w:sz w:val="28"/>
          <w:szCs w:val="28"/>
        </w:rPr>
        <w:t xml:space="preserve"> analysis incorporated precedents and principles from Torres, </w:t>
      </w:r>
      <w:proofErr w:type="spellStart"/>
      <w:r w:rsidRPr="0082474A">
        <w:rPr>
          <w:rFonts w:ascii="Arial" w:eastAsia="Times New Roman" w:hAnsi="Arial" w:cs="Arial"/>
          <w:color w:val="222222"/>
          <w:sz w:val="28"/>
          <w:szCs w:val="28"/>
        </w:rPr>
        <w:t>Omnitrition</w:t>
      </w:r>
      <w:proofErr w:type="spellEnd"/>
      <w:r w:rsidRPr="0082474A">
        <w:rPr>
          <w:rFonts w:ascii="Arial" w:eastAsia="Times New Roman" w:hAnsi="Arial" w:cs="Arial"/>
          <w:color w:val="222222"/>
          <w:sz w:val="28"/>
          <w:szCs w:val="28"/>
        </w:rPr>
        <w:t xml:space="preserve">, and </w:t>
      </w:r>
      <w:proofErr w:type="spellStart"/>
      <w:r w:rsidRPr="0082474A">
        <w:rPr>
          <w:rFonts w:ascii="Arial" w:eastAsia="Times New Roman" w:hAnsi="Arial" w:cs="Arial"/>
          <w:color w:val="222222"/>
          <w:sz w:val="28"/>
          <w:szCs w:val="28"/>
        </w:rPr>
        <w:t>BurnLounge</w:t>
      </w:r>
      <w:proofErr w:type="spellEnd"/>
      <w:r w:rsidRPr="0082474A">
        <w:rPr>
          <w:rFonts w:ascii="Arial" w:eastAsia="Times New Roman" w:hAnsi="Arial" w:cs="Arial"/>
          <w:color w:val="222222"/>
          <w:sz w:val="28"/>
          <w:szCs w:val="28"/>
        </w:rPr>
        <w:t>, along with the FTC’s guidance from 2004 and 2017. </w:t>
      </w:r>
    </w:p>
    <w:p w14:paraId="0524AC09"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6AE8890B"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The Neora Court established that the **The FTC carries the burden to establish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test, and thus, it is the FTC’s obligation to show that Dr. </w:t>
      </w:r>
      <w:proofErr w:type="spellStart"/>
      <w:r w:rsidRPr="0082474A">
        <w:rPr>
          <w:rFonts w:ascii="Arial" w:eastAsia="Times New Roman" w:hAnsi="Arial" w:cs="Arial"/>
          <w:color w:val="222222"/>
          <w:sz w:val="28"/>
          <w:szCs w:val="28"/>
        </w:rPr>
        <w:t>Bosley’s</w:t>
      </w:r>
      <w:proofErr w:type="spellEnd"/>
      <w:r w:rsidRPr="0082474A">
        <w:rPr>
          <w:rFonts w:ascii="Arial" w:eastAsia="Times New Roman" w:hAnsi="Arial" w:cs="Arial"/>
          <w:color w:val="222222"/>
          <w:sz w:val="28"/>
          <w:szCs w:val="28"/>
        </w:rPr>
        <w:t xml:space="preserve"> assumption applies, not the Defendants’ burden to show it does not. </w:t>
      </w:r>
    </w:p>
    <w:p w14:paraId="75DE588A"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In the I2G case, the government completely overlooked the </w:t>
      </w:r>
      <w:proofErr w:type="spellStart"/>
      <w:r w:rsidRPr="0082474A">
        <w:rPr>
          <w:rFonts w:ascii="Arial" w:eastAsia="Times New Roman" w:hAnsi="Arial" w:cs="Arial"/>
          <w:color w:val="222222"/>
          <w:sz w:val="28"/>
          <w:szCs w:val="28"/>
        </w:rPr>
        <w:t>Koskot</w:t>
      </w:r>
      <w:proofErr w:type="spellEnd"/>
      <w:r w:rsidRPr="0082474A">
        <w:rPr>
          <w:rFonts w:ascii="Arial" w:eastAsia="Times New Roman" w:hAnsi="Arial" w:cs="Arial"/>
          <w:color w:val="222222"/>
          <w:sz w:val="28"/>
          <w:szCs w:val="28"/>
        </w:rPr>
        <w:t xml:space="preserve"> burden. The jury was not instructed on the </w:t>
      </w:r>
      <w:proofErr w:type="spellStart"/>
      <w:r w:rsidRPr="0082474A">
        <w:rPr>
          <w:rFonts w:ascii="Arial" w:eastAsia="Times New Roman" w:hAnsi="Arial" w:cs="Arial"/>
          <w:color w:val="222222"/>
          <w:sz w:val="28"/>
          <w:szCs w:val="28"/>
        </w:rPr>
        <w:t>Koskot</w:t>
      </w:r>
      <w:proofErr w:type="spellEnd"/>
      <w:r w:rsidRPr="0082474A">
        <w:rPr>
          <w:rFonts w:ascii="Arial" w:eastAsia="Times New Roman" w:hAnsi="Arial" w:cs="Arial"/>
          <w:color w:val="222222"/>
          <w:sz w:val="28"/>
          <w:szCs w:val="28"/>
        </w:rPr>
        <w:t xml:space="preserve"> standard, nor were they given </w:t>
      </w:r>
      <w:r w:rsidRPr="0082474A">
        <w:rPr>
          <w:rFonts w:ascii="Arial" w:eastAsia="Times New Roman" w:hAnsi="Arial" w:cs="Arial"/>
          <w:color w:val="222222"/>
          <w:sz w:val="28"/>
          <w:szCs w:val="28"/>
        </w:rPr>
        <w:lastRenderedPageBreak/>
        <w:t xml:space="preserve">any guidelines for determining whether the products or their usage were unrelated to rewards. The government's evidence demonstrated a direct link between product purchases, usage, and rewards. Multiple witnesses and documents revealed that 25% of bets were paid through binary commissions. However, the jury was not informed that the </w:t>
      </w:r>
      <w:proofErr w:type="spellStart"/>
      <w:r w:rsidRPr="0082474A">
        <w:rPr>
          <w:rFonts w:ascii="Arial" w:eastAsia="Times New Roman" w:hAnsi="Arial" w:cs="Arial"/>
          <w:color w:val="222222"/>
          <w:sz w:val="28"/>
          <w:szCs w:val="28"/>
        </w:rPr>
        <w:t>Koskot</w:t>
      </w:r>
      <w:proofErr w:type="spellEnd"/>
      <w:r w:rsidRPr="0082474A">
        <w:rPr>
          <w:rFonts w:ascii="Arial" w:eastAsia="Times New Roman" w:hAnsi="Arial" w:cs="Arial"/>
          <w:color w:val="222222"/>
          <w:sz w:val="28"/>
          <w:szCs w:val="28"/>
        </w:rPr>
        <w:t xml:space="preserve"> standard needed to be met to prove the existence of a pyramid scheme.</w:t>
      </w:r>
    </w:p>
    <w:p w14:paraId="6DF7958C"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The government focused on standard multi-level marketing (MLM) practices that were unfamiliar to the jury and unrelated to product rewards. For example, a typical "business transfer request" was misrepresented as fraudulent. The government claimed that Hosseinipour reserved "customer spots" without informing anyone else. They spent ninety minutes discussing emails concerning a business transfer request, regardless of whether it was approved. This assertion was particularly outrageous, especially considering the evidence presented by the government in sections 101(</w:t>
      </w:r>
      <w:proofErr w:type="spellStart"/>
      <w:r w:rsidRPr="0082474A">
        <w:rPr>
          <w:rFonts w:ascii="Arial" w:eastAsia="Times New Roman" w:hAnsi="Arial" w:cs="Arial"/>
          <w:color w:val="222222"/>
          <w:sz w:val="28"/>
          <w:szCs w:val="28"/>
        </w:rPr>
        <w:t>i</w:t>
      </w:r>
      <w:proofErr w:type="spellEnd"/>
      <w:r w:rsidRPr="0082474A">
        <w:rPr>
          <w:rFonts w:ascii="Arial" w:eastAsia="Times New Roman" w:hAnsi="Arial" w:cs="Arial"/>
          <w:color w:val="222222"/>
          <w:sz w:val="28"/>
          <w:szCs w:val="28"/>
        </w:rPr>
        <w:t>) and 101(d), which indicated that distributors had reserved thousands of customer positions in I2G. The allocation of I2G customer spots was not a secret held by Hosseinipour. Section 101(</w:t>
      </w:r>
      <w:proofErr w:type="spellStart"/>
      <w:r w:rsidRPr="0082474A">
        <w:rPr>
          <w:rFonts w:ascii="Arial" w:eastAsia="Times New Roman" w:hAnsi="Arial" w:cs="Arial"/>
          <w:color w:val="222222"/>
          <w:sz w:val="28"/>
          <w:szCs w:val="28"/>
        </w:rPr>
        <w:t>i</w:t>
      </w:r>
      <w:proofErr w:type="spellEnd"/>
      <w:r w:rsidRPr="0082474A">
        <w:rPr>
          <w:rFonts w:ascii="Arial" w:eastAsia="Times New Roman" w:hAnsi="Arial" w:cs="Arial"/>
          <w:color w:val="222222"/>
          <w:sz w:val="28"/>
          <w:szCs w:val="28"/>
        </w:rPr>
        <w:t>) recorded 2,650 customer positions, while section 101(d) showed over 12,000 customer positions.</w:t>
      </w:r>
    </w:p>
    <w:p w14:paraId="4E311FF5"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The government argued that the defendants should not be allowed to present the anti-saturation defense to the jury. The Court prohibited the defendants' expert from discussing anti-saturation or any defenses related to pyramid schemes. Similar to the allegations against Neora, the claims that I2G operated as a pyramid scheme were primarily based on the biased opinions of William Keep. After being hired, Keep publicly expressed on a blog that he wanted to see top distributors convicted in a criminal case by the DOJ. His opinions constituted the entirety of the government's evidence that I2G was a pyramid scheme. The assumptions made by Keep were entirely rejected by the Neora Court.</w:t>
      </w:r>
    </w:p>
    <w:p w14:paraId="4DA3DCD5"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Keep’s and the government's interpretation of the law, which states that internal consumption does not count as "product sales," along with the strict benchmark that requires exclusively retail sales was disqualifying. The defendants can’t be convicted on a non-existent legal standard that misrepresents the law.  </w:t>
      </w:r>
    </w:p>
    <w:p w14:paraId="225BC7A0"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The Neora Court rejected these views, describing them as “rigid opinions without any basis in reality.” The Court found that 90% of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sales were driven by internal consumption, with only 1% documented as retail sales. It also accepted Dr. </w:t>
      </w:r>
      <w:proofErr w:type="spellStart"/>
      <w:r w:rsidRPr="0082474A">
        <w:rPr>
          <w:rFonts w:ascii="Arial" w:eastAsia="Times New Roman" w:hAnsi="Arial" w:cs="Arial"/>
          <w:color w:val="222222"/>
          <w:sz w:val="28"/>
          <w:szCs w:val="28"/>
        </w:rPr>
        <w:t>Vansdale's</w:t>
      </w:r>
      <w:proofErr w:type="spellEnd"/>
      <w:r w:rsidRPr="0082474A">
        <w:rPr>
          <w:rFonts w:ascii="Arial" w:eastAsia="Times New Roman" w:hAnsi="Arial" w:cs="Arial"/>
          <w:color w:val="222222"/>
          <w:sz w:val="28"/>
          <w:szCs w:val="28"/>
        </w:rPr>
        <w:t xml:space="preserve"> opinion that in multilevel marketing </w:t>
      </w:r>
      <w:r w:rsidRPr="0082474A">
        <w:rPr>
          <w:rFonts w:ascii="Arial" w:eastAsia="Times New Roman" w:hAnsi="Arial" w:cs="Arial"/>
          <w:color w:val="222222"/>
          <w:sz w:val="28"/>
          <w:szCs w:val="28"/>
        </w:rPr>
        <w:lastRenderedPageBreak/>
        <w:t>(MLM) systems, at least 70% of sales typically come from internal consumption by distributors who purchase products without engaging in other activities. This conclusion is supported by extensive case law, guidance from the FTC, and the Congressional record.</w:t>
      </w:r>
    </w:p>
    <w:p w14:paraId="3605FC59"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There is no legal guidance that supports the idea that retail sales should be used as the standard for defining "ultimate users," as Keep suggested. In fact, case law and FTC guidance contradict this viewpoint and establish "internal consumption" as the legal standard for product sales in multi-level marketing (MLM). Internal consumption accounts for 70-95% of all MLM product sales. The court in the Neora case dismissed this argument outright.</w:t>
      </w:r>
    </w:p>
    <w:p w14:paraId="1EAEB727"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Neora, which has the same MLM characteristics as I2G, was cleared of all pyramid scheme charges.  Neora, however, was appropriately judged under the FTC Act as a civil regulatory violation, as Congress intended per their failed Anti-pyramid Acts of 2017 and 2018.</w:t>
      </w:r>
    </w:p>
    <w:p w14:paraId="2FB51E53"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b/>
          <w:bCs/>
          <w:color w:val="222222"/>
          <w:sz w:val="28"/>
          <w:szCs w:val="28"/>
        </w:rPr>
        <w:t>Similarities with Neora and I2G</w:t>
      </w:r>
    </w:p>
    <w:p w14:paraId="525910BF"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Like I2G, Neora employed </w:t>
      </w:r>
      <w:r w:rsidRPr="0082474A">
        <w:rPr>
          <w:rFonts w:ascii="Arial" w:eastAsia="Times New Roman" w:hAnsi="Arial" w:cs="Arial"/>
          <w:b/>
          <w:bCs/>
          <w:color w:val="222222"/>
          <w:sz w:val="28"/>
          <w:szCs w:val="28"/>
        </w:rPr>
        <w:t>a binary compensation plan,</w:t>
      </w:r>
      <w:r w:rsidRPr="0082474A">
        <w:rPr>
          <w:rFonts w:ascii="Arial" w:eastAsia="Times New Roman" w:hAnsi="Arial" w:cs="Arial"/>
          <w:color w:val="222222"/>
          <w:sz w:val="28"/>
          <w:szCs w:val="28"/>
        </w:rPr>
        <w:t xml:space="preserve"> which the government expert Keep called a “binary pyramid scheme structure,” making I2G a pyramid scheme.</w:t>
      </w:r>
    </w:p>
    <w:p w14:paraId="3DE44AE0"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Like I2G, Neora employed </w:t>
      </w:r>
      <w:r w:rsidRPr="0082474A">
        <w:rPr>
          <w:rFonts w:ascii="Arial" w:eastAsia="Times New Roman" w:hAnsi="Arial" w:cs="Arial"/>
          <w:b/>
          <w:bCs/>
          <w:color w:val="222222"/>
          <w:sz w:val="28"/>
          <w:szCs w:val="28"/>
        </w:rPr>
        <w:t>fast start, leadership, and matching bonuses.</w:t>
      </w:r>
    </w:p>
    <w:p w14:paraId="7A1944E5"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Like I2G,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product package sales were connected to </w:t>
      </w:r>
      <w:r w:rsidRPr="0082474A">
        <w:rPr>
          <w:rFonts w:ascii="Arial" w:eastAsia="Times New Roman" w:hAnsi="Arial" w:cs="Arial"/>
          <w:b/>
          <w:bCs/>
          <w:color w:val="222222"/>
          <w:sz w:val="28"/>
          <w:szCs w:val="28"/>
        </w:rPr>
        <w:t>rank advancement.</w:t>
      </w:r>
      <w:r w:rsidRPr="0082474A">
        <w:rPr>
          <w:rFonts w:ascii="Arial" w:eastAsia="Times New Roman" w:hAnsi="Arial" w:cs="Arial"/>
          <w:color w:val="222222"/>
          <w:sz w:val="28"/>
          <w:szCs w:val="28"/>
        </w:rPr>
        <w:t>  Neora offered 19 distinct ranks to i2G’s four ranks. However, I2G allowed rank advancement through product sales without recruiting, while Neora required product sales to distributors and recruiting efforts.</w:t>
      </w:r>
    </w:p>
    <w:p w14:paraId="3674F702"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Like I2G, Neora faced</w:t>
      </w:r>
      <w:r w:rsidRPr="0082474A">
        <w:rPr>
          <w:rFonts w:ascii="Arial" w:eastAsia="Times New Roman" w:hAnsi="Arial" w:cs="Arial"/>
          <w:b/>
          <w:bCs/>
          <w:color w:val="222222"/>
          <w:sz w:val="28"/>
          <w:szCs w:val="28"/>
        </w:rPr>
        <w:t xml:space="preserve"> allegations of a 96% loss rate, with 90% of the losses attributed to “recruiting sales” rather than “product sales.”</w:t>
      </w:r>
      <w:r w:rsidRPr="0082474A">
        <w:rPr>
          <w:rFonts w:ascii="Arial" w:eastAsia="Times New Roman" w:hAnsi="Arial" w:cs="Arial"/>
          <w:color w:val="222222"/>
          <w:sz w:val="28"/>
          <w:szCs w:val="28"/>
        </w:rPr>
        <w:t xml:space="preserve"> However, the Neora Court decisively rejected this claim and accepted that 90% of </w:t>
      </w:r>
      <w:proofErr w:type="spellStart"/>
      <w:r w:rsidRPr="0082474A">
        <w:rPr>
          <w:rFonts w:ascii="Arial" w:eastAsia="Times New Roman" w:hAnsi="Arial" w:cs="Arial"/>
          <w:color w:val="222222"/>
          <w:sz w:val="28"/>
          <w:szCs w:val="28"/>
        </w:rPr>
        <w:t>the“recruiting</w:t>
      </w:r>
      <w:proofErr w:type="spellEnd"/>
      <w:r w:rsidRPr="0082474A">
        <w:rPr>
          <w:rFonts w:ascii="Arial" w:eastAsia="Times New Roman" w:hAnsi="Arial" w:cs="Arial"/>
          <w:color w:val="222222"/>
          <w:sz w:val="28"/>
          <w:szCs w:val="28"/>
        </w:rPr>
        <w:t>-related” sales were “product sales based on “internal consumption. Reynold similarly described 90% of i2g sales as “product sales.”</w:t>
      </w:r>
    </w:p>
    <w:p w14:paraId="4034DE45"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Like I2G, Neora issued</w:t>
      </w:r>
      <w:r w:rsidRPr="0082474A">
        <w:rPr>
          <w:rFonts w:ascii="Arial" w:eastAsia="Times New Roman" w:hAnsi="Arial" w:cs="Arial"/>
          <w:b/>
          <w:bCs/>
          <w:color w:val="222222"/>
          <w:sz w:val="28"/>
          <w:szCs w:val="28"/>
        </w:rPr>
        <w:t xml:space="preserve"> terms and conditions</w:t>
      </w:r>
      <w:r w:rsidRPr="0082474A">
        <w:rPr>
          <w:rFonts w:ascii="Arial" w:eastAsia="Times New Roman" w:hAnsi="Arial" w:cs="Arial"/>
          <w:color w:val="222222"/>
          <w:sz w:val="28"/>
          <w:szCs w:val="28"/>
        </w:rPr>
        <w:t xml:space="preserve"> to outline the compensation plan with no explicit promise of income or returns to an independent distributor’s business.</w:t>
      </w:r>
    </w:p>
    <w:p w14:paraId="473FCF0A"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lastRenderedPageBreak/>
        <w:t xml:space="preserve">Like I2G, </w:t>
      </w:r>
      <w:r w:rsidRPr="0082474A">
        <w:rPr>
          <w:rFonts w:ascii="Arial" w:eastAsia="Times New Roman" w:hAnsi="Arial" w:cs="Arial"/>
          <w:b/>
          <w:bCs/>
          <w:color w:val="222222"/>
          <w:sz w:val="28"/>
          <w:szCs w:val="28"/>
        </w:rPr>
        <w:t>pyramid scheme expert testimony</w:t>
      </w:r>
      <w:r w:rsidRPr="0082474A">
        <w:rPr>
          <w:rFonts w:ascii="Arial" w:eastAsia="Times New Roman" w:hAnsi="Arial" w:cs="Arial"/>
          <w:color w:val="222222"/>
          <w:sz w:val="28"/>
          <w:szCs w:val="28"/>
        </w:rPr>
        <w:t xml:space="preserve"> was used in the Neora case.  The FTC expert, Dr. </w:t>
      </w:r>
      <w:proofErr w:type="spellStart"/>
      <w:r w:rsidRPr="0082474A">
        <w:rPr>
          <w:rFonts w:ascii="Arial" w:eastAsia="Times New Roman" w:hAnsi="Arial" w:cs="Arial"/>
          <w:color w:val="222222"/>
          <w:sz w:val="28"/>
          <w:szCs w:val="28"/>
        </w:rPr>
        <w:t>Bosley</w:t>
      </w:r>
      <w:proofErr w:type="spellEnd"/>
      <w:r w:rsidRPr="0082474A">
        <w:rPr>
          <w:rFonts w:ascii="Arial" w:eastAsia="Times New Roman" w:hAnsi="Arial" w:cs="Arial"/>
          <w:color w:val="222222"/>
          <w:sz w:val="28"/>
          <w:szCs w:val="28"/>
        </w:rPr>
        <w:t>, had opinions identical to Dr. Keep. The Neora Court rejected the views as "rigid theoretical opinions not borne out of reality." </w:t>
      </w:r>
    </w:p>
    <w:p w14:paraId="75F68188"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Unlike I2G, </w:t>
      </w:r>
      <w:r w:rsidRPr="0082474A">
        <w:rPr>
          <w:rFonts w:ascii="Arial" w:eastAsia="Times New Roman" w:hAnsi="Arial" w:cs="Arial"/>
          <w:b/>
          <w:bCs/>
          <w:color w:val="222222"/>
          <w:sz w:val="28"/>
          <w:szCs w:val="28"/>
        </w:rPr>
        <w:t>Neora was allowed to have its expert</w:t>
      </w:r>
      <w:r w:rsidRPr="0082474A">
        <w:rPr>
          <w:rFonts w:ascii="Arial" w:eastAsia="Times New Roman" w:hAnsi="Arial" w:cs="Arial"/>
          <w:color w:val="222222"/>
          <w:sz w:val="28"/>
          <w:szCs w:val="28"/>
        </w:rPr>
        <w:t xml:space="preserve"> counter </w:t>
      </w:r>
      <w:proofErr w:type="spellStart"/>
      <w:r w:rsidRPr="0082474A">
        <w:rPr>
          <w:rFonts w:ascii="Arial" w:eastAsia="Times New Roman" w:hAnsi="Arial" w:cs="Arial"/>
          <w:color w:val="222222"/>
          <w:sz w:val="28"/>
          <w:szCs w:val="28"/>
        </w:rPr>
        <w:t>Bosley’s</w:t>
      </w:r>
      <w:proofErr w:type="spellEnd"/>
      <w:r w:rsidRPr="0082474A">
        <w:rPr>
          <w:rFonts w:ascii="Arial" w:eastAsia="Times New Roman" w:hAnsi="Arial" w:cs="Arial"/>
          <w:color w:val="222222"/>
          <w:sz w:val="28"/>
          <w:szCs w:val="28"/>
        </w:rPr>
        <w:t xml:space="preserve"> opinion. Without the ability to challenge William </w:t>
      </w:r>
      <w:proofErr w:type="spellStart"/>
      <w:r w:rsidRPr="0082474A">
        <w:rPr>
          <w:rFonts w:ascii="Arial" w:eastAsia="Times New Roman" w:hAnsi="Arial" w:cs="Arial"/>
          <w:color w:val="222222"/>
          <w:sz w:val="28"/>
          <w:szCs w:val="28"/>
        </w:rPr>
        <w:t>Bosley</w:t>
      </w:r>
      <w:proofErr w:type="spellEnd"/>
      <w:r w:rsidRPr="0082474A">
        <w:rPr>
          <w:rFonts w:ascii="Arial" w:eastAsia="Times New Roman" w:hAnsi="Arial" w:cs="Arial"/>
          <w:color w:val="222222"/>
          <w:sz w:val="28"/>
          <w:szCs w:val="28"/>
        </w:rPr>
        <w:t xml:space="preserve"> with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expert, Dr. Walter </w:t>
      </w:r>
      <w:proofErr w:type="spellStart"/>
      <w:r w:rsidRPr="0082474A">
        <w:rPr>
          <w:rFonts w:ascii="Arial" w:eastAsia="Times New Roman" w:hAnsi="Arial" w:cs="Arial"/>
          <w:color w:val="222222"/>
          <w:sz w:val="28"/>
          <w:szCs w:val="28"/>
        </w:rPr>
        <w:t>Vansdale</w:t>
      </w:r>
      <w:proofErr w:type="spellEnd"/>
      <w:r w:rsidRPr="0082474A">
        <w:rPr>
          <w:rFonts w:ascii="Arial" w:eastAsia="Times New Roman" w:hAnsi="Arial" w:cs="Arial"/>
          <w:color w:val="222222"/>
          <w:sz w:val="28"/>
          <w:szCs w:val="28"/>
        </w:rPr>
        <w:t>, a Neora victory would not have been possible.</w:t>
      </w:r>
    </w:p>
    <w:p w14:paraId="0CD42284"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Like I2g,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success depended on</w:t>
      </w:r>
      <w:r w:rsidRPr="0082474A">
        <w:rPr>
          <w:rFonts w:ascii="Arial" w:eastAsia="Times New Roman" w:hAnsi="Arial" w:cs="Arial"/>
          <w:b/>
          <w:bCs/>
          <w:color w:val="222222"/>
          <w:sz w:val="28"/>
          <w:szCs w:val="28"/>
        </w:rPr>
        <w:t xml:space="preserve"> sales to the ultimate consumer. </w:t>
      </w:r>
      <w:r w:rsidRPr="0082474A">
        <w:rPr>
          <w:rFonts w:ascii="Arial" w:eastAsia="Times New Roman" w:hAnsi="Arial" w:cs="Arial"/>
          <w:color w:val="222222"/>
          <w:sz w:val="28"/>
          <w:szCs w:val="28"/>
        </w:rPr>
        <w:t xml:space="preserve">Both I2g and Neora had 90% “product sales.” The government key witness </w:t>
      </w:r>
      <w:proofErr w:type="spellStart"/>
      <w:r w:rsidRPr="0082474A">
        <w:rPr>
          <w:rFonts w:ascii="Arial" w:eastAsia="Times New Roman" w:hAnsi="Arial" w:cs="Arial"/>
          <w:color w:val="222222"/>
          <w:sz w:val="28"/>
          <w:szCs w:val="28"/>
        </w:rPr>
        <w:t>Vansdale</w:t>
      </w:r>
      <w:proofErr w:type="spellEnd"/>
      <w:r w:rsidRPr="0082474A">
        <w:rPr>
          <w:rFonts w:ascii="Arial" w:eastAsia="Times New Roman" w:hAnsi="Arial" w:cs="Arial"/>
          <w:color w:val="222222"/>
          <w:sz w:val="28"/>
          <w:szCs w:val="28"/>
        </w:rPr>
        <w:t xml:space="preserve"> like i2G government witness Reynolds testified that over 90% of I2G sales were product sales. </w:t>
      </w:r>
    </w:p>
    <w:p w14:paraId="413CC8D7"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The main distinction is that the Neora Court accurately acknowledged that "internal consumption" accounted for 90% of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total product sales, while only 1% resulted from "retail sales."</w:t>
      </w:r>
    </w:p>
    <w:p w14:paraId="53F1C45C"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Like I2G, Neora distributors' eligibility for commissions and bonuses is based on product "volume," which refers to the value assigned to a product. However, the business volume (BV) accumulated by I2G distributors can come from retail customer transactions, independent of the distributors' own product package purchases.</w:t>
      </w:r>
    </w:p>
    <w:p w14:paraId="7D06D89B"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0AB0B4B0"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Similarly, Neora distributors can qualify for monthly commissions by either purchasing products for personal use or through sales made to customers. </w:t>
      </w:r>
    </w:p>
    <w:p w14:paraId="38107983"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6B126B8E"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In line with I2G's practices, Neora has also offered significant checks to top earners during recognition events, which is common in multi-level marketing (MLM). Additionally, like I2G, Neora distributors utilize a </w:t>
      </w:r>
      <w:proofErr w:type="gramStart"/>
      <w:r w:rsidRPr="0082474A">
        <w:rPr>
          <w:rFonts w:ascii="Arial" w:eastAsia="Times New Roman" w:hAnsi="Arial" w:cs="Arial"/>
          <w:color w:val="222222"/>
          <w:sz w:val="28"/>
          <w:szCs w:val="28"/>
        </w:rPr>
        <w:t>back office</w:t>
      </w:r>
      <w:proofErr w:type="gramEnd"/>
      <w:r w:rsidRPr="0082474A">
        <w:rPr>
          <w:rFonts w:ascii="Arial" w:eastAsia="Times New Roman" w:hAnsi="Arial" w:cs="Arial"/>
          <w:color w:val="222222"/>
          <w:sz w:val="28"/>
          <w:szCs w:val="28"/>
        </w:rPr>
        <w:t xml:space="preserve"> system that enables them to contact support and review their commission reports.</w:t>
      </w:r>
    </w:p>
    <w:p w14:paraId="3CB5260A"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0C81266D"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As with I2G, only a small number of Neora distributors reach the top ranks. In 2021, only seven Neora distributors achieved the top rank out of 35000. In contrast, I2G, which has less than 20,000 distributors, had seven distributors or distributor teams that earned over one million dollars, with </w:t>
      </w:r>
      <w:r w:rsidRPr="0082474A">
        <w:rPr>
          <w:rFonts w:ascii="Arial" w:eastAsia="Times New Roman" w:hAnsi="Arial" w:cs="Arial"/>
          <w:color w:val="222222"/>
          <w:sz w:val="28"/>
          <w:szCs w:val="28"/>
        </w:rPr>
        <w:lastRenderedPageBreak/>
        <w:t xml:space="preserve">over 200 distributors earning commissions exceeding $10,000, according to Reynold’s records. This performance surpasses typical earnings seen in MLM </w:t>
      </w:r>
      <w:proofErr w:type="spellStart"/>
      <w:r w:rsidRPr="0082474A">
        <w:rPr>
          <w:rFonts w:ascii="Arial" w:eastAsia="Times New Roman" w:hAnsi="Arial" w:cs="Arial"/>
          <w:color w:val="222222"/>
          <w:sz w:val="28"/>
          <w:szCs w:val="28"/>
        </w:rPr>
        <w:t>statistics.Like</w:t>
      </w:r>
      <w:proofErr w:type="spellEnd"/>
      <w:r w:rsidRPr="0082474A">
        <w:rPr>
          <w:rFonts w:ascii="Arial" w:eastAsia="Times New Roman" w:hAnsi="Arial" w:cs="Arial"/>
          <w:color w:val="222222"/>
          <w:sz w:val="28"/>
          <w:szCs w:val="28"/>
        </w:rPr>
        <w:t xml:space="preserve"> I2G, Neora distributors' eligibility for commissions and bonuses is based on product "volume," which refers to the value assigned to a product. However, the business volume (BV) accumulated by I2G distributors can come from retail customer transactions, independent of the distributors' own product package purchases.</w:t>
      </w:r>
    </w:p>
    <w:p w14:paraId="51ABE070"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49CE1568"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Similarly, Neora distributors can qualify for monthly commissions by either purchasing products for personal use or through sales made to customers. </w:t>
      </w:r>
    </w:p>
    <w:p w14:paraId="02182621"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737B7050"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In line with I2G's practices, Neora has also offered significant checks to top earners during recognition events, which is common in multi-level marketing (MLM). Additionally, like I2G, Neora distributors utilize a </w:t>
      </w:r>
      <w:proofErr w:type="gramStart"/>
      <w:r w:rsidRPr="0082474A">
        <w:rPr>
          <w:rFonts w:ascii="Arial" w:eastAsia="Times New Roman" w:hAnsi="Arial" w:cs="Arial"/>
          <w:color w:val="222222"/>
          <w:sz w:val="28"/>
          <w:szCs w:val="28"/>
        </w:rPr>
        <w:t>back office</w:t>
      </w:r>
      <w:proofErr w:type="gramEnd"/>
      <w:r w:rsidRPr="0082474A">
        <w:rPr>
          <w:rFonts w:ascii="Arial" w:eastAsia="Times New Roman" w:hAnsi="Arial" w:cs="Arial"/>
          <w:color w:val="222222"/>
          <w:sz w:val="28"/>
          <w:szCs w:val="28"/>
        </w:rPr>
        <w:t xml:space="preserve"> system that enables them to contact support and review their commission reports.</w:t>
      </w:r>
    </w:p>
    <w:p w14:paraId="6190B356"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073CC7FB" w14:textId="77777777" w:rsidR="0082474A" w:rsidRPr="0082474A" w:rsidRDefault="0082474A" w:rsidP="0082474A">
      <w:pPr>
        <w:spacing w:before="240" w:after="240" w:line="24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As with I2G, only a small number of Neora distributors reach the top ranks. In 2021, only seven Neora distributors achieved the top rank out of 35000. In contrast, I2G, which has less than 20,000 distributors, had seven distributors or distributor teams that earned over one million dollars, with over 265 distributors earning commissions exceeding $10,000, according to Reynold’s records. This performance surpasses typical earnings seen in MLM statistics. Neora Statistics:</w:t>
      </w:r>
    </w:p>
    <w:p w14:paraId="41D0A493" w14:textId="77777777" w:rsidR="0082474A" w:rsidRPr="0082474A" w:rsidRDefault="0082474A" w:rsidP="0082474A">
      <w:pPr>
        <w:numPr>
          <w:ilvl w:val="0"/>
          <w:numId w:val="1"/>
        </w:numPr>
        <w:spacing w:before="240" w:after="0" w:line="240" w:lineRule="auto"/>
        <w:textAlignment w:val="baseline"/>
        <w:rPr>
          <w:rFonts w:ascii="Arial" w:eastAsia="Times New Roman" w:hAnsi="Arial" w:cs="Arial"/>
          <w:color w:val="222222"/>
          <w:sz w:val="28"/>
          <w:szCs w:val="28"/>
        </w:rPr>
      </w:pPr>
      <w:r w:rsidRPr="0082474A">
        <w:rPr>
          <w:rFonts w:ascii="Arial" w:eastAsia="Times New Roman" w:hAnsi="Arial" w:cs="Arial"/>
          <w:color w:val="222222"/>
          <w:sz w:val="28"/>
          <w:szCs w:val="28"/>
        </w:rPr>
        <w:t>Neora January 2021–December 2021. </w:t>
      </w:r>
    </w:p>
    <w:p w14:paraId="7C4684AC" w14:textId="77777777" w:rsidR="0082474A" w:rsidRPr="0082474A" w:rsidRDefault="0082474A" w:rsidP="0082474A">
      <w:pPr>
        <w:numPr>
          <w:ilvl w:val="0"/>
          <w:numId w:val="1"/>
        </w:numPr>
        <w:spacing w:after="0" w:line="240" w:lineRule="auto"/>
        <w:textAlignment w:val="baseline"/>
        <w:rPr>
          <w:rFonts w:ascii="Arial" w:eastAsia="Times New Roman" w:hAnsi="Arial" w:cs="Arial"/>
          <w:color w:val="222222"/>
          <w:sz w:val="28"/>
          <w:szCs w:val="28"/>
        </w:rPr>
      </w:pPr>
      <w:r w:rsidRPr="0082474A">
        <w:rPr>
          <w:rFonts w:ascii="Arial" w:eastAsia="Times New Roman" w:hAnsi="Arial" w:cs="Arial"/>
          <w:color w:val="222222"/>
          <w:sz w:val="28"/>
          <w:szCs w:val="28"/>
        </w:rPr>
        <w:t>40.1 % of Active US Brand Partners earned cash commissions</w:t>
      </w:r>
    </w:p>
    <w:p w14:paraId="385CC28E" w14:textId="77777777" w:rsidR="0082474A" w:rsidRPr="0082474A" w:rsidRDefault="0082474A" w:rsidP="0082474A">
      <w:pPr>
        <w:numPr>
          <w:ilvl w:val="0"/>
          <w:numId w:val="1"/>
        </w:numPr>
        <w:spacing w:after="0" w:line="240" w:lineRule="auto"/>
        <w:textAlignment w:val="baseline"/>
        <w:rPr>
          <w:rFonts w:ascii="Arial" w:eastAsia="Times New Roman" w:hAnsi="Arial" w:cs="Arial"/>
          <w:color w:val="222222"/>
          <w:sz w:val="28"/>
          <w:szCs w:val="28"/>
        </w:rPr>
      </w:pPr>
      <w:r w:rsidRPr="0082474A">
        <w:rPr>
          <w:rFonts w:ascii="Arial" w:eastAsia="Times New Roman" w:hAnsi="Arial" w:cs="Arial"/>
          <w:color w:val="222222"/>
          <w:sz w:val="28"/>
          <w:szCs w:val="28"/>
        </w:rPr>
        <w:t> 59.9% did not earn any cash commissions.</w:t>
      </w:r>
    </w:p>
    <w:p w14:paraId="59A09607" w14:textId="77777777" w:rsidR="0082474A" w:rsidRPr="0082474A" w:rsidRDefault="0082474A" w:rsidP="0082474A">
      <w:pPr>
        <w:numPr>
          <w:ilvl w:val="0"/>
          <w:numId w:val="1"/>
        </w:numPr>
        <w:spacing w:after="0" w:line="240" w:lineRule="auto"/>
        <w:textAlignment w:val="baseline"/>
        <w:rPr>
          <w:rFonts w:ascii="Arial" w:eastAsia="Times New Roman" w:hAnsi="Arial" w:cs="Arial"/>
          <w:color w:val="222222"/>
          <w:sz w:val="28"/>
          <w:szCs w:val="28"/>
        </w:rPr>
      </w:pPr>
      <w:r w:rsidRPr="0082474A">
        <w:rPr>
          <w:rFonts w:ascii="Arial" w:eastAsia="Times New Roman" w:hAnsi="Arial" w:cs="Arial"/>
          <w:color w:val="222222"/>
          <w:sz w:val="28"/>
          <w:szCs w:val="28"/>
        </w:rPr>
        <w:t xml:space="preserve"> The average annual gross cash earnings of Active US Brand Partners </w:t>
      </w:r>
      <w:proofErr w:type="gramStart"/>
      <w:r w:rsidRPr="0082474A">
        <w:rPr>
          <w:rFonts w:ascii="Arial" w:eastAsia="Times New Roman" w:hAnsi="Arial" w:cs="Arial"/>
          <w:color w:val="222222"/>
          <w:sz w:val="28"/>
          <w:szCs w:val="28"/>
        </w:rPr>
        <w:t>was</w:t>
      </w:r>
      <w:proofErr w:type="gramEnd"/>
      <w:r w:rsidRPr="0082474A">
        <w:rPr>
          <w:rFonts w:ascii="Arial" w:eastAsia="Times New Roman" w:hAnsi="Arial" w:cs="Arial"/>
          <w:color w:val="222222"/>
          <w:sz w:val="28"/>
          <w:szCs w:val="28"/>
        </w:rPr>
        <w:t xml:space="preserve"> $1,358. </w:t>
      </w:r>
    </w:p>
    <w:p w14:paraId="00A87F96" w14:textId="77777777" w:rsidR="0082474A" w:rsidRPr="0082474A" w:rsidRDefault="0082474A" w:rsidP="0082474A">
      <w:pPr>
        <w:numPr>
          <w:ilvl w:val="0"/>
          <w:numId w:val="1"/>
        </w:numPr>
        <w:spacing w:after="0" w:line="480" w:lineRule="auto"/>
        <w:textAlignment w:val="baseline"/>
        <w:rPr>
          <w:rFonts w:ascii="Arial" w:eastAsia="Times New Roman" w:hAnsi="Arial" w:cs="Arial"/>
          <w:color w:val="222222"/>
          <w:sz w:val="28"/>
          <w:szCs w:val="28"/>
        </w:rPr>
      </w:pPr>
      <w:r w:rsidRPr="0082474A">
        <w:rPr>
          <w:rFonts w:ascii="Arial" w:eastAsia="Times New Roman" w:hAnsi="Arial" w:cs="Arial"/>
          <w:color w:val="222222"/>
          <w:sz w:val="28"/>
          <w:szCs w:val="28"/>
        </w:rPr>
        <w:t>1.9% earned a Car Bonus for one month or more.</w:t>
      </w:r>
    </w:p>
    <w:p w14:paraId="5B334654" w14:textId="77777777" w:rsidR="0082474A" w:rsidRPr="0082474A" w:rsidRDefault="0082474A" w:rsidP="0082474A">
      <w:pPr>
        <w:numPr>
          <w:ilvl w:val="0"/>
          <w:numId w:val="1"/>
        </w:numPr>
        <w:spacing w:after="0" w:line="240" w:lineRule="auto"/>
        <w:textAlignment w:val="baseline"/>
        <w:rPr>
          <w:rFonts w:ascii="Arial" w:eastAsia="Times New Roman" w:hAnsi="Arial" w:cs="Arial"/>
          <w:color w:val="222222"/>
          <w:sz w:val="28"/>
          <w:szCs w:val="28"/>
        </w:rPr>
      </w:pPr>
      <w:r w:rsidRPr="0082474A">
        <w:rPr>
          <w:rFonts w:ascii="Arial" w:eastAsia="Times New Roman" w:hAnsi="Arial" w:cs="Arial"/>
          <w:color w:val="222222"/>
          <w:sz w:val="28"/>
          <w:szCs w:val="28"/>
        </w:rPr>
        <w:t>median tenure for BPs and PCs may be approximately eight months and months,</w:t>
      </w:r>
    </w:p>
    <w:p w14:paraId="591DDE21" w14:textId="77777777" w:rsidR="0082474A" w:rsidRPr="0082474A" w:rsidRDefault="0082474A" w:rsidP="0082474A">
      <w:pPr>
        <w:numPr>
          <w:ilvl w:val="0"/>
          <w:numId w:val="1"/>
        </w:numPr>
        <w:spacing w:after="0" w:line="240" w:lineRule="auto"/>
        <w:textAlignment w:val="baseline"/>
        <w:rPr>
          <w:rFonts w:ascii="Arial" w:eastAsia="Times New Roman" w:hAnsi="Arial" w:cs="Arial"/>
          <w:color w:val="222222"/>
          <w:sz w:val="28"/>
          <w:szCs w:val="28"/>
        </w:rPr>
      </w:pPr>
      <w:r w:rsidRPr="0082474A">
        <w:rPr>
          <w:rFonts w:ascii="Arial" w:eastAsia="Times New Roman" w:hAnsi="Arial" w:cs="Arial"/>
          <w:color w:val="222222"/>
          <w:sz w:val="28"/>
          <w:szCs w:val="28"/>
        </w:rPr>
        <w:t xml:space="preserve">Like I2G, Neora distributors listed a variety of reasons for joining the business, including love of Neora products,82 the ability to earn free </w:t>
      </w:r>
      <w:r w:rsidRPr="0082474A">
        <w:rPr>
          <w:rFonts w:ascii="Arial" w:eastAsia="Times New Roman" w:hAnsi="Arial" w:cs="Arial"/>
          <w:color w:val="222222"/>
          <w:sz w:val="28"/>
          <w:szCs w:val="28"/>
        </w:rPr>
        <w:lastRenderedPageBreak/>
        <w:t>products through the 3UR Free program,83 product discounts,84 personal development,85 and additional income.86 </w:t>
      </w:r>
    </w:p>
    <w:p w14:paraId="69DF8695"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3F3ADFDD" w14:textId="77777777" w:rsidR="0082474A" w:rsidRPr="0082474A" w:rsidRDefault="0082474A" w:rsidP="0082474A">
      <w:pPr>
        <w:spacing w:after="0" w:line="240" w:lineRule="auto"/>
        <w:ind w:left="720"/>
        <w:rPr>
          <w:rFonts w:ascii="Times New Roman" w:eastAsia="Times New Roman" w:hAnsi="Times New Roman" w:cs="Times New Roman"/>
          <w:sz w:val="24"/>
          <w:szCs w:val="24"/>
        </w:rPr>
      </w:pPr>
      <w:r w:rsidRPr="0082474A">
        <w:rPr>
          <w:rFonts w:ascii="Arial" w:eastAsia="Times New Roman" w:hAnsi="Arial" w:cs="Arial"/>
          <w:b/>
          <w:bCs/>
          <w:color w:val="222222"/>
          <w:sz w:val="28"/>
          <w:szCs w:val="28"/>
        </w:rPr>
        <w:t xml:space="preserve">Coming Directly </w:t>
      </w:r>
      <w:proofErr w:type="gramStart"/>
      <w:r w:rsidRPr="0082474A">
        <w:rPr>
          <w:rFonts w:ascii="Arial" w:eastAsia="Times New Roman" w:hAnsi="Arial" w:cs="Arial"/>
          <w:b/>
          <w:bCs/>
          <w:color w:val="222222"/>
          <w:sz w:val="28"/>
          <w:szCs w:val="28"/>
        </w:rPr>
        <w:t>From</w:t>
      </w:r>
      <w:proofErr w:type="gramEnd"/>
      <w:r w:rsidRPr="0082474A">
        <w:rPr>
          <w:rFonts w:ascii="Arial" w:eastAsia="Times New Roman" w:hAnsi="Arial" w:cs="Arial"/>
          <w:b/>
          <w:bCs/>
          <w:color w:val="222222"/>
          <w:sz w:val="28"/>
          <w:szCs w:val="28"/>
        </w:rPr>
        <w:t xml:space="preserve"> Neora Opinion</w:t>
      </w:r>
    </w:p>
    <w:p w14:paraId="50AB040A"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4BC6DCE8"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Consistently, over 90% of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revenues come from product sales; (to distributor ultimate users) the remaining 10% of revenues come from starter enrollment Product Packs to BPs and upgrades, and nonproduct sales.94 An estimated less than 1% of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product sales are made to Retail Customers.95 </w:t>
      </w:r>
    </w:p>
    <w:p w14:paraId="271591FD" w14:textId="77777777" w:rsidR="0082474A" w:rsidRPr="0082474A" w:rsidRDefault="0082474A" w:rsidP="0082474A">
      <w:pPr>
        <w:spacing w:after="240" w:line="240" w:lineRule="auto"/>
        <w:rPr>
          <w:rFonts w:ascii="Times New Roman" w:eastAsia="Times New Roman" w:hAnsi="Times New Roman" w:cs="Times New Roman"/>
          <w:sz w:val="24"/>
          <w:szCs w:val="24"/>
        </w:rPr>
      </w:pPr>
    </w:p>
    <w:p w14:paraId="018E6B5C"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Most of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product sales—between 75 and 80% of sales—are made to PCs.(distributors who consume the product) 96 Sales to PCs are considered ultimate end-user sales, i.e., purchased for personal use without the intent to resell to anyone else.97 The data indicates that, as a percentage of total product sales, sales to PCs have been increasing and sales to BPs have been decreasing since 2017.98, but the only logical conclusion is that those people are savings seekers. And there are other Brand Partners who’ve flat out said they’re not interested in building a business or -- </w:t>
      </w:r>
      <w:proofErr w:type="spellStart"/>
      <w:r w:rsidRPr="0082474A">
        <w:rPr>
          <w:rFonts w:ascii="Arial" w:eastAsia="Times New Roman" w:hAnsi="Arial" w:cs="Arial"/>
          <w:color w:val="222222"/>
          <w:sz w:val="28"/>
          <w:szCs w:val="28"/>
        </w:rPr>
        <w:t>or</w:t>
      </w:r>
      <w:proofErr w:type="spellEnd"/>
      <w:r w:rsidRPr="0082474A">
        <w:rPr>
          <w:rFonts w:ascii="Arial" w:eastAsia="Times New Roman" w:hAnsi="Arial" w:cs="Arial"/>
          <w:color w:val="222222"/>
          <w:sz w:val="28"/>
          <w:szCs w:val="28"/>
        </w:rPr>
        <w:t xml:space="preserve"> doing anything other than buying the product.”).</w:t>
      </w:r>
    </w:p>
    <w:p w14:paraId="4FB950BC"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 it can be estimated that 65% of BPs’ purchases are for personal use; under that same model, 90% of total product sales in 2021—including BPs, PCs, and retail customers—can be estimated for personal use.100 </w:t>
      </w:r>
      <w:r w:rsidRPr="0082474A">
        <w:rPr>
          <w:rFonts w:ascii="Arial" w:eastAsia="Times New Roman" w:hAnsi="Arial" w:cs="Arial"/>
          <w:color w:val="222222"/>
          <w:sz w:val="28"/>
          <w:szCs w:val="28"/>
        </w:rPr>
        <w:lastRenderedPageBreak/>
        <w:t>Approximately 70% of Neora BPs do not sell products or build an organization through recruitment.101 From February 2019 to January 2020, 69.4% of all BPs earned no commissions.102 For that same period, there were seven BPs with the highest rank—Platinum National Marketing Director—who on average, earned substantially more in gross rewards.</w:t>
      </w:r>
    </w:p>
    <w:p w14:paraId="135B0B80"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26D4EC38"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In 2021, 95% of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revenues came from product sales; 3% from enrollment product packs/upgrades, and 2% from non-product sales. (</w:t>
      </w:r>
      <w:proofErr w:type="gramStart"/>
      <w:r w:rsidRPr="0082474A">
        <w:rPr>
          <w:rFonts w:ascii="Arial" w:eastAsia="Times New Roman" w:hAnsi="Arial" w:cs="Arial"/>
          <w:color w:val="222222"/>
          <w:sz w:val="28"/>
          <w:szCs w:val="28"/>
        </w:rPr>
        <w:t>with</w:t>
      </w:r>
      <w:proofErr w:type="gramEnd"/>
      <w:r w:rsidRPr="0082474A">
        <w:rPr>
          <w:rFonts w:ascii="Arial" w:eastAsia="Times New Roman" w:hAnsi="Arial" w:cs="Arial"/>
          <w:color w:val="222222"/>
          <w:sz w:val="28"/>
          <w:szCs w:val="28"/>
        </w:rPr>
        <w:t xml:space="preserve"> PCs/distributors as the ultimate users)</w:t>
      </w:r>
    </w:p>
    <w:p w14:paraId="5176D518"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Dr. </w:t>
      </w:r>
      <w:proofErr w:type="spellStart"/>
      <w:r w:rsidRPr="0082474A">
        <w:rPr>
          <w:rFonts w:ascii="Arial" w:eastAsia="Times New Roman" w:hAnsi="Arial" w:cs="Arial"/>
          <w:color w:val="222222"/>
          <w:sz w:val="28"/>
          <w:szCs w:val="28"/>
        </w:rPr>
        <w:t>Vandaele</w:t>
      </w:r>
      <w:proofErr w:type="spellEnd"/>
      <w:r w:rsidRPr="0082474A">
        <w:rPr>
          <w:rFonts w:ascii="Arial" w:eastAsia="Times New Roman" w:hAnsi="Arial" w:cs="Arial"/>
          <w:color w:val="222222"/>
          <w:sz w:val="28"/>
          <w:szCs w:val="28"/>
        </w:rPr>
        <w:t xml:space="preserve"> estimated that, on average, 75% percent of total product sales—including BPs, PCs, and retail customers—were for personal consumption, and on average, 43% of purchases by BPs were for personal consumption. Id. 101 Tr. 3-A at 105–07 (“I think we’re 68 or 69, something like that, </w:t>
      </w:r>
      <w:r w:rsidRPr="0082474A">
        <w:rPr>
          <w:rFonts w:ascii="Arial" w:eastAsia="Times New Roman" w:hAnsi="Arial" w:cs="Arial"/>
          <w:color w:val="222222"/>
          <w:sz w:val="28"/>
          <w:szCs w:val="28"/>
          <w:shd w:val="clear" w:color="auto" w:fill="FFFF00"/>
        </w:rPr>
        <w:t>but pretty much in alignment with the direct sales industry.</w:t>
      </w:r>
      <w:r w:rsidRPr="0082474A">
        <w:rPr>
          <w:rFonts w:ascii="Arial" w:eastAsia="Times New Roman" w:hAnsi="Arial" w:cs="Arial"/>
          <w:color w:val="222222"/>
          <w:sz w:val="28"/>
          <w:szCs w:val="28"/>
        </w:rPr>
        <w:t> </w:t>
      </w:r>
    </w:p>
    <w:p w14:paraId="56D9CEC3"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shd w:val="clear" w:color="auto" w:fill="FFFF00"/>
        </w:rPr>
        <w:t xml:space="preserve">Of any direct sales company, about 70 percent of the people who sign up don’t do anything. . . . And </w:t>
      </w:r>
      <w:proofErr w:type="gramStart"/>
      <w:r w:rsidRPr="0082474A">
        <w:rPr>
          <w:rFonts w:ascii="Arial" w:eastAsia="Times New Roman" w:hAnsi="Arial" w:cs="Arial"/>
          <w:color w:val="222222"/>
          <w:sz w:val="28"/>
          <w:szCs w:val="28"/>
          <w:shd w:val="clear" w:color="auto" w:fill="FFFF00"/>
        </w:rPr>
        <w:t>so</w:t>
      </w:r>
      <w:proofErr w:type="gramEnd"/>
      <w:r w:rsidRPr="0082474A">
        <w:rPr>
          <w:rFonts w:ascii="Arial" w:eastAsia="Times New Roman" w:hAnsi="Arial" w:cs="Arial"/>
          <w:color w:val="222222"/>
          <w:sz w:val="28"/>
          <w:szCs w:val="28"/>
          <w:shd w:val="clear" w:color="auto" w:fill="FFFF00"/>
        </w:rPr>
        <w:t xml:space="preserve"> we have a lot of our 70 percent, who don’t do anything, are still buying our products. They’re savings seekers.”</w:t>
      </w:r>
      <w:r w:rsidRPr="0082474A">
        <w:rPr>
          <w:rFonts w:ascii="Arial" w:eastAsia="Times New Roman" w:hAnsi="Arial" w:cs="Arial"/>
          <w:color w:val="222222"/>
          <w:sz w:val="28"/>
          <w:szCs w:val="28"/>
        </w:rPr>
        <w:t>);</w:t>
      </w:r>
    </w:p>
    <w:p w14:paraId="7CDDEEE5" w14:textId="77777777" w:rsidR="0082474A" w:rsidRPr="0082474A" w:rsidRDefault="0082474A" w:rsidP="0082474A">
      <w:pPr>
        <w:spacing w:after="240" w:line="240" w:lineRule="auto"/>
        <w:rPr>
          <w:rFonts w:ascii="Times New Roman" w:eastAsia="Times New Roman" w:hAnsi="Times New Roman" w:cs="Times New Roman"/>
          <w:sz w:val="24"/>
          <w:szCs w:val="24"/>
        </w:rPr>
      </w:pPr>
    </w:p>
    <w:p w14:paraId="6922C226"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shd w:val="clear" w:color="auto" w:fill="00FFFF"/>
        </w:rPr>
        <w:t> of the product to ultimate users. I</w:t>
      </w:r>
      <w:r w:rsidRPr="0082474A">
        <w:rPr>
          <w:rFonts w:ascii="Arial" w:eastAsia="Times New Roman" w:hAnsi="Arial" w:cs="Arial"/>
          <w:color w:val="222222"/>
          <w:sz w:val="28"/>
          <w:szCs w:val="28"/>
        </w:rPr>
        <w:t xml:space="preserve">d. at *60 (emphasis in original). The second element of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test has been characterized as the sine qua non of a pyramid scheme.  Court will address each Count in turn. A. Count </w:t>
      </w:r>
      <w:r w:rsidRPr="0082474A">
        <w:rPr>
          <w:rFonts w:ascii="Arial" w:eastAsia="Times New Roman" w:hAnsi="Arial" w:cs="Arial"/>
          <w:color w:val="222222"/>
          <w:sz w:val="28"/>
          <w:szCs w:val="28"/>
        </w:rPr>
        <w:lastRenderedPageBreak/>
        <w:t xml:space="preserve">1: Pyramid Scheme “The operation of a pyramid scheme constitutes an unfair or deceptive act or practice in or affecting commerce for § 5(a).” FTC v. </w:t>
      </w:r>
      <w:proofErr w:type="spellStart"/>
      <w:r w:rsidRPr="0082474A">
        <w:rPr>
          <w:rFonts w:ascii="Arial" w:eastAsia="Times New Roman" w:hAnsi="Arial" w:cs="Arial"/>
          <w:color w:val="222222"/>
          <w:sz w:val="28"/>
          <w:szCs w:val="28"/>
        </w:rPr>
        <w:t>BurnLounge</w:t>
      </w:r>
      <w:proofErr w:type="spellEnd"/>
      <w:r w:rsidRPr="0082474A">
        <w:rPr>
          <w:rFonts w:ascii="Arial" w:eastAsia="Times New Roman" w:hAnsi="Arial" w:cs="Arial"/>
          <w:color w:val="222222"/>
          <w:sz w:val="28"/>
          <w:szCs w:val="28"/>
        </w:rPr>
        <w:t xml:space="preserve">, Inc., 753 F.3d 878, 880 (9th Cir. 2014). The FTC maintains that Neora is actively violating or is about to violate § 5 of the FTC Act by operating an illegal pyramid scheme and asks the Court to enjoin Neora from operating as a multi-level marketing company. 1. Legal Standard </w:t>
      </w:r>
      <w:proofErr w:type="gramStart"/>
      <w:r w:rsidRPr="0082474A">
        <w:rPr>
          <w:rFonts w:ascii="Arial" w:eastAsia="Times New Roman" w:hAnsi="Arial" w:cs="Arial"/>
          <w:color w:val="222222"/>
          <w:sz w:val="28"/>
          <w:szCs w:val="28"/>
        </w:rPr>
        <w:t>In</w:t>
      </w:r>
      <w:proofErr w:type="gramEnd"/>
      <w:r w:rsidRPr="0082474A">
        <w:rPr>
          <w:rFonts w:ascii="Arial" w:eastAsia="Times New Roman" w:hAnsi="Arial" w:cs="Arial"/>
          <w:color w:val="222222"/>
          <w:sz w:val="28"/>
          <w:szCs w:val="28"/>
        </w:rPr>
        <w:t xml:space="preserve"> In re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Interplanetary, Inc., et al., 86 F.T.C. 1106, 1975 WL 173318 (1975), the Federal Trade Commission established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test for determining what constitutes a pyramid scheme: Such schemes are characterized by the payment by participants of money to the company in return for which they receive (1) the right to sell a product and (2) the right to receive in return for recruiting other participants into the program rewards which are unrelated to </w:t>
      </w:r>
      <w:proofErr w:type="spellStart"/>
      <w:r w:rsidRPr="0082474A">
        <w:rPr>
          <w:rFonts w:ascii="Arial" w:eastAsia="Times New Roman" w:hAnsi="Arial" w:cs="Arial"/>
          <w:color w:val="222222"/>
          <w:sz w:val="28"/>
          <w:szCs w:val="28"/>
        </w:rPr>
        <w:t>saleme</w:t>
      </w:r>
      <w:proofErr w:type="spellEnd"/>
      <w:r w:rsidRPr="0082474A">
        <w:rPr>
          <w:rFonts w:ascii="Arial" w:eastAsia="Times New Roman" w:hAnsi="Arial" w:cs="Arial"/>
          <w:color w:val="222222"/>
          <w:sz w:val="28"/>
          <w:szCs w:val="28"/>
        </w:rPr>
        <w:t xml:space="preserve">. Webster v. </w:t>
      </w:r>
      <w:proofErr w:type="spellStart"/>
      <w:r w:rsidRPr="0082474A">
        <w:rPr>
          <w:rFonts w:ascii="Arial" w:eastAsia="Times New Roman" w:hAnsi="Arial" w:cs="Arial"/>
          <w:color w:val="222222"/>
          <w:sz w:val="28"/>
          <w:szCs w:val="28"/>
        </w:rPr>
        <w:t>Omnitrition</w:t>
      </w:r>
      <w:proofErr w:type="spellEnd"/>
      <w:r w:rsidRPr="0082474A">
        <w:rPr>
          <w:rFonts w:ascii="Arial" w:eastAsia="Times New Roman" w:hAnsi="Arial" w:cs="Arial"/>
          <w:color w:val="222222"/>
          <w:sz w:val="28"/>
          <w:szCs w:val="28"/>
        </w:rPr>
        <w:t xml:space="preserve"> Int’l, Inc., 79 F.3d 776, 781–82 (9th Cir. 1996) (adopting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standard). “[T]he presence of this second element, recruitment with rewards unrelated to product sales, is nothing more than an elaborate bound to be disappointed.”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1975 WL 173318 at *60. ate chain letter device in which individuals who pay a valuable consideration with the expectation of recouping it to some degree via recruitment Case 3:20-cv-01979-M Document 347 Filed 09/28/23 Page 25 of 56 </w:t>
      </w:r>
      <w:proofErr w:type="spellStart"/>
      <w:r w:rsidRPr="0082474A">
        <w:rPr>
          <w:rFonts w:ascii="Arial" w:eastAsia="Times New Roman" w:hAnsi="Arial" w:cs="Arial"/>
          <w:color w:val="222222"/>
          <w:sz w:val="28"/>
          <w:szCs w:val="28"/>
        </w:rPr>
        <w:t>PageID</w:t>
      </w:r>
      <w:proofErr w:type="spellEnd"/>
      <w:r w:rsidRPr="0082474A">
        <w:rPr>
          <w:rFonts w:ascii="Arial" w:eastAsia="Times New Roman" w:hAnsi="Arial" w:cs="Arial"/>
          <w:color w:val="222222"/>
          <w:sz w:val="28"/>
          <w:szCs w:val="28"/>
        </w:rPr>
        <w:t xml:space="preserve"> 21350 26 Unlike other </w:t>
      </w:r>
      <w:r w:rsidRPr="0082474A">
        <w:rPr>
          <w:rFonts w:ascii="Arial" w:eastAsia="Times New Roman" w:hAnsi="Arial" w:cs="Arial"/>
          <w:color w:val="222222"/>
          <w:sz w:val="28"/>
          <w:szCs w:val="28"/>
        </w:rPr>
        <w:lastRenderedPageBreak/>
        <w:t xml:space="preserve">courts, the Fifth Circuit has never expressly adopted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test to determine the existence of a pyramid scheme. Cf. </w:t>
      </w:r>
      <w:proofErr w:type="spellStart"/>
      <w:r w:rsidRPr="0082474A">
        <w:rPr>
          <w:rFonts w:ascii="Arial" w:eastAsia="Times New Roman" w:hAnsi="Arial" w:cs="Arial"/>
          <w:color w:val="222222"/>
          <w:sz w:val="28"/>
          <w:szCs w:val="28"/>
        </w:rPr>
        <w:t>Omnitrition</w:t>
      </w:r>
      <w:proofErr w:type="spellEnd"/>
      <w:r w:rsidRPr="0082474A">
        <w:rPr>
          <w:rFonts w:ascii="Arial" w:eastAsia="Times New Roman" w:hAnsi="Arial" w:cs="Arial"/>
          <w:color w:val="222222"/>
          <w:sz w:val="28"/>
          <w:szCs w:val="28"/>
        </w:rPr>
        <w:t xml:space="preserve">, 79 F.3d at 781 (“We adopt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standard here . . . .”). </w:t>
      </w:r>
      <w:r w:rsidRPr="0082474A">
        <w:rPr>
          <w:rFonts w:ascii="Arial" w:eastAsia="Times New Roman" w:hAnsi="Arial" w:cs="Arial"/>
          <w:color w:val="222222"/>
          <w:sz w:val="28"/>
          <w:szCs w:val="28"/>
          <w:shd w:val="clear" w:color="auto" w:fill="FFFF00"/>
        </w:rPr>
        <w:t xml:space="preserve">Instead, the Fifth Circuit has acknowledged the two-part </w:t>
      </w:r>
      <w:proofErr w:type="spellStart"/>
      <w:r w:rsidRPr="0082474A">
        <w:rPr>
          <w:rFonts w:ascii="Arial" w:eastAsia="Times New Roman" w:hAnsi="Arial" w:cs="Arial"/>
          <w:color w:val="222222"/>
          <w:sz w:val="28"/>
          <w:szCs w:val="28"/>
          <w:shd w:val="clear" w:color="auto" w:fill="FFFF00"/>
        </w:rPr>
        <w:t>Koscot</w:t>
      </w:r>
      <w:proofErr w:type="spellEnd"/>
      <w:r w:rsidRPr="0082474A">
        <w:rPr>
          <w:rFonts w:ascii="Arial" w:eastAsia="Times New Roman" w:hAnsi="Arial" w:cs="Arial"/>
          <w:color w:val="222222"/>
          <w:sz w:val="28"/>
          <w:szCs w:val="28"/>
          <w:shd w:val="clear" w:color="auto" w:fill="FFFF00"/>
        </w:rPr>
        <w:t xml:space="preserve"> test only twice in a pair of recent related decisions.113 See Torres v. S.G.E. Mgmt., 805 F.3d 145, 153–54 (5th Cir. 2015) (Torres I) </w:t>
      </w:r>
      <w:r w:rsidRPr="0082474A">
        <w:rPr>
          <w:rFonts w:ascii="Arial" w:eastAsia="Times New Roman" w:hAnsi="Arial" w:cs="Arial"/>
          <w:color w:val="222222"/>
          <w:sz w:val="28"/>
          <w:szCs w:val="28"/>
        </w:rPr>
        <w:t xml:space="preserve">(citing </w:t>
      </w:r>
      <w:proofErr w:type="spellStart"/>
      <w:r w:rsidRPr="0082474A">
        <w:rPr>
          <w:rFonts w:ascii="Arial" w:eastAsia="Times New Roman" w:hAnsi="Arial" w:cs="Arial"/>
          <w:color w:val="222222"/>
          <w:sz w:val="28"/>
          <w:szCs w:val="28"/>
        </w:rPr>
        <w:t>Omnitrition</w:t>
      </w:r>
      <w:proofErr w:type="spellEnd"/>
      <w:r w:rsidRPr="0082474A">
        <w:rPr>
          <w:rFonts w:ascii="Arial" w:eastAsia="Times New Roman" w:hAnsi="Arial" w:cs="Arial"/>
          <w:color w:val="222222"/>
          <w:sz w:val="28"/>
          <w:szCs w:val="28"/>
        </w:rPr>
        <w:t xml:space="preserve">, 79 F.3d at 781–82), </w:t>
      </w:r>
      <w:proofErr w:type="spellStart"/>
      <w:r w:rsidRPr="0082474A">
        <w:rPr>
          <w:rFonts w:ascii="Arial" w:eastAsia="Times New Roman" w:hAnsi="Arial" w:cs="Arial"/>
          <w:color w:val="222222"/>
          <w:sz w:val="28"/>
          <w:szCs w:val="28"/>
        </w:rPr>
        <w:t>rev’d</w:t>
      </w:r>
      <w:proofErr w:type="spellEnd"/>
      <w:r w:rsidRPr="0082474A">
        <w:rPr>
          <w:rFonts w:ascii="Arial" w:eastAsia="Times New Roman" w:hAnsi="Arial" w:cs="Arial"/>
          <w:color w:val="222222"/>
          <w:sz w:val="28"/>
          <w:szCs w:val="28"/>
        </w:rPr>
        <w:t xml:space="preserve"> on other grounds, 838 F.3d 629 (5th Cir. 2016) (</w:t>
      </w:r>
      <w:proofErr w:type="spellStart"/>
      <w:r w:rsidRPr="0082474A">
        <w:rPr>
          <w:rFonts w:ascii="Arial" w:eastAsia="Times New Roman" w:hAnsi="Arial" w:cs="Arial"/>
          <w:color w:val="222222"/>
          <w:sz w:val="28"/>
          <w:szCs w:val="28"/>
        </w:rPr>
        <w:t>en</w:t>
      </w:r>
      <w:proofErr w:type="spellEnd"/>
      <w:r w:rsidRPr="0082474A">
        <w:rPr>
          <w:rFonts w:ascii="Arial" w:eastAsia="Times New Roman" w:hAnsi="Arial" w:cs="Arial"/>
          <w:color w:val="222222"/>
          <w:sz w:val="28"/>
          <w:szCs w:val="28"/>
        </w:rPr>
        <w:t xml:space="preserve"> banc) (Torres II). </w:t>
      </w:r>
      <w:r w:rsidRPr="0082474A">
        <w:rPr>
          <w:rFonts w:ascii="Arial" w:eastAsia="Times New Roman" w:hAnsi="Arial" w:cs="Arial"/>
          <w:color w:val="222222"/>
          <w:sz w:val="28"/>
          <w:szCs w:val="28"/>
          <w:shd w:val="clear" w:color="auto" w:fill="FFFF00"/>
        </w:rPr>
        <w:t>In Torres I, the Fifth Circuit panel vacated the district court’s decision certifying a class action for victims of an alleged pyramid scheme brought under the Racketeer Influenced and Corrupt Organizations Act (“RICO”), 18 U.S.C. §§ 1961–68. 805 F.3d at 158–59. The panel held that decertification was appropriate because the plaintiffs would have to rely upon individualized proof of reliance as to the fraudulent conduct causing the plaintiffs’ injuries, i.e., that the plaintiffs relied on representations that the scheme was not, in fact, a pyramid scheme.</w:t>
      </w:r>
      <w:r w:rsidRPr="0082474A">
        <w:rPr>
          <w:rFonts w:ascii="Arial" w:eastAsia="Times New Roman" w:hAnsi="Arial" w:cs="Arial"/>
          <w:color w:val="222222"/>
          <w:sz w:val="28"/>
          <w:szCs w:val="28"/>
        </w:rPr>
        <w:t xml:space="preserve"> Id. </w:t>
      </w:r>
      <w:r w:rsidRPr="0082474A">
        <w:rPr>
          <w:rFonts w:ascii="Arial" w:eastAsia="Times New Roman" w:hAnsi="Arial" w:cs="Arial"/>
          <w:color w:val="222222"/>
          <w:sz w:val="28"/>
          <w:szCs w:val="28"/>
          <w:shd w:val="clear" w:color="auto" w:fill="FFFF00"/>
        </w:rPr>
        <w:t xml:space="preserve">In doing so, the panel acknowledged the </w:t>
      </w:r>
      <w:proofErr w:type="spellStart"/>
      <w:r w:rsidRPr="0082474A">
        <w:rPr>
          <w:rFonts w:ascii="Arial" w:eastAsia="Times New Roman" w:hAnsi="Arial" w:cs="Arial"/>
          <w:color w:val="222222"/>
          <w:sz w:val="28"/>
          <w:szCs w:val="28"/>
          <w:shd w:val="clear" w:color="auto" w:fill="FFFF00"/>
        </w:rPr>
        <w:t>Koscot</w:t>
      </w:r>
      <w:proofErr w:type="spellEnd"/>
      <w:r w:rsidRPr="0082474A">
        <w:rPr>
          <w:rFonts w:ascii="Arial" w:eastAsia="Times New Roman" w:hAnsi="Arial" w:cs="Arial"/>
          <w:color w:val="222222"/>
          <w:sz w:val="28"/>
          <w:szCs w:val="28"/>
          <w:shd w:val="clear" w:color="auto" w:fill="FFFF00"/>
        </w:rPr>
        <w:t xml:space="preserve"> test, as explained by the Ninth Circuit in the earlier Webster v. </w:t>
      </w:r>
      <w:proofErr w:type="spellStart"/>
      <w:r w:rsidRPr="0082474A">
        <w:rPr>
          <w:rFonts w:ascii="Arial" w:eastAsia="Times New Roman" w:hAnsi="Arial" w:cs="Arial"/>
          <w:color w:val="222222"/>
          <w:sz w:val="28"/>
          <w:szCs w:val="28"/>
          <w:shd w:val="clear" w:color="auto" w:fill="FFFF00"/>
        </w:rPr>
        <w:t>Omnitrition</w:t>
      </w:r>
      <w:proofErr w:type="spellEnd"/>
      <w:r w:rsidRPr="0082474A">
        <w:rPr>
          <w:rFonts w:ascii="Arial" w:eastAsia="Times New Roman" w:hAnsi="Arial" w:cs="Arial"/>
          <w:color w:val="222222"/>
          <w:sz w:val="28"/>
          <w:szCs w:val="28"/>
          <w:shd w:val="clear" w:color="auto" w:fill="FFFF00"/>
        </w:rPr>
        <w:t xml:space="preserve"> International </w:t>
      </w:r>
      <w:r w:rsidRPr="0082474A">
        <w:rPr>
          <w:rFonts w:ascii="Arial" w:eastAsia="Times New Roman" w:hAnsi="Arial" w:cs="Arial"/>
          <w:color w:val="222222"/>
          <w:sz w:val="28"/>
          <w:szCs w:val="28"/>
        </w:rPr>
        <w:t xml:space="preserve">case. Id. at 153–54. The Fifth Circuit subsequently vacated the panel decision and heard the case </w:t>
      </w:r>
      <w:proofErr w:type="spellStart"/>
      <w:r w:rsidRPr="0082474A">
        <w:rPr>
          <w:rFonts w:ascii="Arial" w:eastAsia="Times New Roman" w:hAnsi="Arial" w:cs="Arial"/>
          <w:color w:val="222222"/>
          <w:sz w:val="28"/>
          <w:szCs w:val="28"/>
        </w:rPr>
        <w:t>en</w:t>
      </w:r>
      <w:proofErr w:type="spellEnd"/>
      <w:r w:rsidRPr="0082474A">
        <w:rPr>
          <w:rFonts w:ascii="Arial" w:eastAsia="Times New Roman" w:hAnsi="Arial" w:cs="Arial"/>
          <w:color w:val="222222"/>
          <w:sz w:val="28"/>
          <w:szCs w:val="28"/>
        </w:rPr>
        <w:t xml:space="preserve"> banc on a narrow issue: “whether the Plaintiffs may prove RICO causation through common proof such that individualized issues will not predominate at trial.” Torres II, 838 </w:t>
      </w:r>
      <w:r w:rsidRPr="0082474A">
        <w:rPr>
          <w:rFonts w:ascii="Arial" w:eastAsia="Times New Roman" w:hAnsi="Arial" w:cs="Arial"/>
          <w:color w:val="222222"/>
          <w:sz w:val="28"/>
          <w:szCs w:val="28"/>
        </w:rPr>
        <w:lastRenderedPageBreak/>
        <w:t xml:space="preserve">F.3d at 635. </w:t>
      </w:r>
      <w:r w:rsidRPr="0082474A">
        <w:rPr>
          <w:rFonts w:ascii="Arial" w:eastAsia="Times New Roman" w:hAnsi="Arial" w:cs="Arial"/>
          <w:color w:val="222222"/>
          <w:sz w:val="28"/>
          <w:szCs w:val="28"/>
          <w:shd w:val="clear" w:color="auto" w:fill="FFFF00"/>
        </w:rPr>
        <w:t xml:space="preserve">The </w:t>
      </w:r>
      <w:proofErr w:type="spellStart"/>
      <w:r w:rsidRPr="0082474A">
        <w:rPr>
          <w:rFonts w:ascii="Arial" w:eastAsia="Times New Roman" w:hAnsi="Arial" w:cs="Arial"/>
          <w:color w:val="222222"/>
          <w:sz w:val="28"/>
          <w:szCs w:val="28"/>
          <w:shd w:val="clear" w:color="auto" w:fill="FFFF00"/>
        </w:rPr>
        <w:t>en</w:t>
      </w:r>
      <w:proofErr w:type="spellEnd"/>
      <w:r w:rsidRPr="0082474A">
        <w:rPr>
          <w:rFonts w:ascii="Arial" w:eastAsia="Times New Roman" w:hAnsi="Arial" w:cs="Arial"/>
          <w:color w:val="222222"/>
          <w:sz w:val="28"/>
          <w:szCs w:val="28"/>
          <w:shd w:val="clear" w:color="auto" w:fill="FFFF00"/>
        </w:rPr>
        <w:t xml:space="preserve"> banc Fifth Circuit subsequently affirmed the district court’s certification decision, concluding that individual issues did not predominate because if it was proven at trial that defendants operated a fraudulent pyramid scheme, a jury may reasonably infer that the plaintiffs relied on the defendant’s implicit representation of legitimacy. Id.</w:t>
      </w:r>
      <w:r w:rsidRPr="0082474A">
        <w:rPr>
          <w:rFonts w:ascii="Arial" w:eastAsia="Times New Roman" w:hAnsi="Arial" w:cs="Arial"/>
          <w:color w:val="222222"/>
          <w:sz w:val="28"/>
          <w:szCs w:val="28"/>
        </w:rPr>
        <w:t xml:space="preserve"> at 647. 113 Note, however, that the Fifth Circuit has acknowledged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distributorship model in other contexts, albeit none of which addressed the merits of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formulation of its pyramid scheme test. See, e.g., F.T.C. v. Turner, 609 F.2d 743, 744 (5th Cir. 1980); S.E.C. v.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Interplanetary, Inc., 497 F.2d 473, 485 (5th Cir. 1974). Case 3:20-cv-01979-M Document 347 Filed 09/28/23 Page 26 of 56 </w:t>
      </w:r>
      <w:proofErr w:type="spellStart"/>
      <w:r w:rsidRPr="0082474A">
        <w:rPr>
          <w:rFonts w:ascii="Arial" w:eastAsia="Times New Roman" w:hAnsi="Arial" w:cs="Arial"/>
          <w:color w:val="222222"/>
          <w:sz w:val="28"/>
          <w:szCs w:val="28"/>
        </w:rPr>
        <w:t>PageID</w:t>
      </w:r>
      <w:proofErr w:type="spellEnd"/>
      <w:r w:rsidRPr="0082474A">
        <w:rPr>
          <w:rFonts w:ascii="Arial" w:eastAsia="Times New Roman" w:hAnsi="Arial" w:cs="Arial"/>
          <w:color w:val="222222"/>
          <w:sz w:val="28"/>
          <w:szCs w:val="28"/>
        </w:rPr>
        <w:t xml:space="preserve"> 21351 27 I</w:t>
      </w:r>
      <w:r w:rsidRPr="0082474A">
        <w:rPr>
          <w:rFonts w:ascii="Arial" w:eastAsia="Times New Roman" w:hAnsi="Arial" w:cs="Arial"/>
          <w:color w:val="222222"/>
          <w:sz w:val="28"/>
          <w:szCs w:val="28"/>
          <w:shd w:val="clear" w:color="auto" w:fill="FFFF00"/>
        </w:rPr>
        <w:t>n reaching this conclusion, the majority admitted that “[n]o clear line separates illegal pyramid schemes from legitimate multilevel marketing programs.” Id. at 639 (quoting United States v. Gold Unlimited, Inc., 177 F.3d 472, 475 (6th Cir. 1999))</w:t>
      </w:r>
      <w:r w:rsidRPr="0082474A">
        <w:rPr>
          <w:rFonts w:ascii="Arial" w:eastAsia="Times New Roman" w:hAnsi="Arial" w:cs="Arial"/>
          <w:color w:val="222222"/>
          <w:sz w:val="28"/>
          <w:szCs w:val="28"/>
        </w:rPr>
        <w:t xml:space="preserve">; cf. Torres II, 838 F.3d at 653– 54 </w:t>
      </w:r>
      <w:r w:rsidRPr="0082474A">
        <w:rPr>
          <w:rFonts w:ascii="Arial" w:eastAsia="Times New Roman" w:hAnsi="Arial" w:cs="Arial"/>
          <w:color w:val="222222"/>
          <w:sz w:val="28"/>
          <w:szCs w:val="28"/>
          <w:shd w:val="clear" w:color="auto" w:fill="FFFF00"/>
        </w:rPr>
        <w:t xml:space="preserve">(Jones, J., dissenting) (criticizing the majority for not providing additional guidance as to the meaning of “illegal pyramid scheme” beyond the </w:t>
      </w:r>
      <w:proofErr w:type="spellStart"/>
      <w:r w:rsidRPr="0082474A">
        <w:rPr>
          <w:rFonts w:ascii="Arial" w:eastAsia="Times New Roman" w:hAnsi="Arial" w:cs="Arial"/>
          <w:color w:val="222222"/>
          <w:sz w:val="28"/>
          <w:szCs w:val="28"/>
          <w:shd w:val="clear" w:color="auto" w:fill="FFFF00"/>
        </w:rPr>
        <w:t>Koscot</w:t>
      </w:r>
      <w:proofErr w:type="spellEnd"/>
      <w:r w:rsidRPr="0082474A">
        <w:rPr>
          <w:rFonts w:ascii="Arial" w:eastAsia="Times New Roman" w:hAnsi="Arial" w:cs="Arial"/>
          <w:color w:val="222222"/>
          <w:sz w:val="28"/>
          <w:szCs w:val="28"/>
          <w:shd w:val="clear" w:color="auto" w:fill="FFFF00"/>
        </w:rPr>
        <w:t xml:space="preserve"> definition).</w:t>
      </w:r>
      <w:r w:rsidRPr="0082474A">
        <w:rPr>
          <w:rFonts w:ascii="Arial" w:eastAsia="Times New Roman" w:hAnsi="Arial" w:cs="Arial"/>
          <w:color w:val="222222"/>
          <w:sz w:val="28"/>
          <w:szCs w:val="28"/>
        </w:rPr>
        <w:t xml:space="preserve"> It did, however, discuss the FTC’s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test, while providing some additional observations: By definition, a pyramid scheme operates by taking money from downline recruits . . . who will never recoup their payments, </w:t>
      </w:r>
      <w:r w:rsidRPr="0082474A">
        <w:rPr>
          <w:rFonts w:ascii="Arial" w:eastAsia="Times New Roman" w:hAnsi="Arial" w:cs="Arial"/>
          <w:color w:val="222222"/>
          <w:sz w:val="28"/>
          <w:szCs w:val="28"/>
        </w:rPr>
        <w:lastRenderedPageBreak/>
        <w:t xml:space="preserve">and funneling the money to those at the top of the pyramid. Such schemes depend on “there [being] Peters . . . to rob for the purpose of paying Paul.” Those who lose money in a pyramid scheme necessarily do so “by reason of” the fraud because the fraud is necessary to temporarily sustain the scheme, and ultimately causes the scheme’s collapse. And, those who profit from a fraudulent pyramid scheme make money only by virtue of the participation of downline investors . . . who lose money. Torres II, 838 F.3d at 640.  </w:t>
      </w:r>
      <w:r w:rsidRPr="0082474A">
        <w:rPr>
          <w:rFonts w:ascii="Arial" w:eastAsia="Times New Roman" w:hAnsi="Arial" w:cs="Arial"/>
          <w:color w:val="222222"/>
          <w:sz w:val="28"/>
          <w:szCs w:val="28"/>
          <w:shd w:val="clear" w:color="auto" w:fill="FFFF00"/>
        </w:rPr>
        <w:t>Moreover, the majority observed that “[w]</w:t>
      </w:r>
      <w:proofErr w:type="spellStart"/>
      <w:r w:rsidRPr="0082474A">
        <w:rPr>
          <w:rFonts w:ascii="Arial" w:eastAsia="Times New Roman" w:hAnsi="Arial" w:cs="Arial"/>
          <w:color w:val="222222"/>
          <w:sz w:val="28"/>
          <w:szCs w:val="28"/>
          <w:shd w:val="clear" w:color="auto" w:fill="FFFF00"/>
        </w:rPr>
        <w:t>hether</w:t>
      </w:r>
      <w:proofErr w:type="spellEnd"/>
      <w:r w:rsidRPr="0082474A">
        <w:rPr>
          <w:rFonts w:ascii="Arial" w:eastAsia="Times New Roman" w:hAnsi="Arial" w:cs="Arial"/>
          <w:color w:val="222222"/>
          <w:sz w:val="28"/>
          <w:szCs w:val="28"/>
          <w:shd w:val="clear" w:color="auto" w:fill="FFFF00"/>
        </w:rPr>
        <w:t xml:space="preserve"> a multi-level marketing program is fraudulent or legitimate depends on its internal structure.” Torres II, 838 F.3d at 643; see also </w:t>
      </w:r>
      <w:proofErr w:type="spellStart"/>
      <w:r w:rsidRPr="0082474A">
        <w:rPr>
          <w:rFonts w:ascii="Arial" w:eastAsia="Times New Roman" w:hAnsi="Arial" w:cs="Arial"/>
          <w:color w:val="222222"/>
          <w:sz w:val="28"/>
          <w:szCs w:val="28"/>
          <w:shd w:val="clear" w:color="auto" w:fill="FFFF00"/>
        </w:rPr>
        <w:t>BurnLounge</w:t>
      </w:r>
      <w:proofErr w:type="spellEnd"/>
      <w:r w:rsidRPr="0082474A">
        <w:rPr>
          <w:rFonts w:ascii="Arial" w:eastAsia="Times New Roman" w:hAnsi="Arial" w:cs="Arial"/>
          <w:color w:val="222222"/>
          <w:sz w:val="28"/>
          <w:szCs w:val="28"/>
          <w:shd w:val="clear" w:color="auto" w:fill="FFFF00"/>
        </w:rPr>
        <w:t>, 753 F.3d at 883 (“To determine whether a MLM business is a pyramid, a court must look at how the MLM business operates in practice.”)</w:t>
      </w:r>
      <w:r w:rsidRPr="0082474A">
        <w:rPr>
          <w:rFonts w:ascii="Arial" w:eastAsia="Times New Roman" w:hAnsi="Arial" w:cs="Arial"/>
          <w:color w:val="222222"/>
          <w:sz w:val="28"/>
          <w:szCs w:val="28"/>
        </w:rPr>
        <w:t xml:space="preserve">. The panel decision in Torres I was vacated on certification grounds, and the </w:t>
      </w:r>
      <w:proofErr w:type="spellStart"/>
      <w:r w:rsidRPr="0082474A">
        <w:rPr>
          <w:rFonts w:ascii="Arial" w:eastAsia="Times New Roman" w:hAnsi="Arial" w:cs="Arial"/>
          <w:color w:val="222222"/>
          <w:sz w:val="28"/>
          <w:szCs w:val="28"/>
        </w:rPr>
        <w:t>en</w:t>
      </w:r>
      <w:proofErr w:type="spellEnd"/>
      <w:r w:rsidRPr="0082474A">
        <w:rPr>
          <w:rFonts w:ascii="Arial" w:eastAsia="Times New Roman" w:hAnsi="Arial" w:cs="Arial"/>
          <w:color w:val="222222"/>
          <w:sz w:val="28"/>
          <w:szCs w:val="28"/>
        </w:rPr>
        <w:t xml:space="preserve"> banc decision did not address the panel’s characterization of a pyramid scheme; the Court thus finds the Torres I commentary about pyramid schemes to be relevant persuasive authority. I</w:t>
      </w:r>
      <w:r w:rsidRPr="0082474A">
        <w:rPr>
          <w:rFonts w:ascii="Arial" w:eastAsia="Times New Roman" w:hAnsi="Arial" w:cs="Arial"/>
          <w:color w:val="222222"/>
          <w:sz w:val="28"/>
          <w:szCs w:val="28"/>
          <w:shd w:val="clear" w:color="auto" w:fill="FFFF00"/>
        </w:rPr>
        <w:t>n Torres I, the panel stated that “the primary factor in deciding whether a business is whether the business focuses exclusively or almost exclusively on recruiting as opposed to sales.” 805 F.3d at 153 (emphasis in original). The panel also noted that a pyramid scheme can be distinguished from “the many types of businesses organized in a ‘pyramid-</w:t>
      </w:r>
      <w:r w:rsidRPr="0082474A">
        <w:rPr>
          <w:rFonts w:ascii="Arial" w:eastAsia="Times New Roman" w:hAnsi="Arial" w:cs="Arial"/>
          <w:color w:val="222222"/>
          <w:sz w:val="28"/>
          <w:szCs w:val="28"/>
          <w:shd w:val="clear" w:color="auto" w:fill="FFFF00"/>
        </w:rPr>
        <w:lastRenderedPageBreak/>
        <w:t>shaped’ hierarchical structure</w:t>
      </w:r>
      <w:r w:rsidRPr="0082474A">
        <w:rPr>
          <w:rFonts w:ascii="Arial" w:eastAsia="Times New Roman" w:hAnsi="Arial" w:cs="Arial"/>
          <w:color w:val="222222"/>
          <w:sz w:val="28"/>
          <w:szCs w:val="28"/>
        </w:rPr>
        <w:t xml:space="preserve">” and that “[a] true pyramid scheme, as that term is used here, Case 3:20-cv-01979-M Document 347 Filed 09/28/23 Page 27 of 56 </w:t>
      </w:r>
      <w:proofErr w:type="spellStart"/>
      <w:r w:rsidRPr="0082474A">
        <w:rPr>
          <w:rFonts w:ascii="Arial" w:eastAsia="Times New Roman" w:hAnsi="Arial" w:cs="Arial"/>
          <w:color w:val="222222"/>
          <w:sz w:val="28"/>
          <w:szCs w:val="28"/>
        </w:rPr>
        <w:t>PageID</w:t>
      </w:r>
      <w:proofErr w:type="spellEnd"/>
      <w:r w:rsidRPr="0082474A">
        <w:rPr>
          <w:rFonts w:ascii="Arial" w:eastAsia="Times New Roman" w:hAnsi="Arial" w:cs="Arial"/>
          <w:color w:val="222222"/>
          <w:sz w:val="28"/>
          <w:szCs w:val="28"/>
        </w:rPr>
        <w:t xml:space="preserve"> 21352 28</w:t>
      </w:r>
      <w:r w:rsidRPr="0082474A">
        <w:rPr>
          <w:rFonts w:ascii="Arial" w:eastAsia="Times New Roman" w:hAnsi="Arial" w:cs="Arial"/>
          <w:color w:val="222222"/>
          <w:sz w:val="28"/>
          <w:szCs w:val="28"/>
          <w:shd w:val="clear" w:color="auto" w:fill="FFFF00"/>
        </w:rPr>
        <w:t xml:space="preserve"> refers to a type of illegal and fraudulent activity, structured in a fashion that it ‘must eventually collapse.’” </w:t>
      </w:r>
      <w:r w:rsidRPr="0082474A">
        <w:rPr>
          <w:rFonts w:ascii="Arial" w:eastAsia="Times New Roman" w:hAnsi="Arial" w:cs="Arial"/>
          <w:color w:val="222222"/>
          <w:sz w:val="28"/>
          <w:szCs w:val="28"/>
        </w:rPr>
        <w:t xml:space="preserve">Id. </w:t>
      </w:r>
      <w:r w:rsidRPr="0082474A">
        <w:rPr>
          <w:rFonts w:ascii="Arial" w:eastAsia="Times New Roman" w:hAnsi="Arial" w:cs="Arial"/>
          <w:color w:val="222222"/>
          <w:sz w:val="28"/>
          <w:szCs w:val="28"/>
          <w:shd w:val="clear" w:color="auto" w:fill="FFFF00"/>
        </w:rPr>
        <w:t>Also relevant to the pyramid scheme inquiry is the FTC’s published guidance regarding multi-level marketing companies.</w:t>
      </w:r>
      <w:r w:rsidRPr="0082474A">
        <w:rPr>
          <w:rFonts w:ascii="Arial" w:eastAsia="Times New Roman" w:hAnsi="Arial" w:cs="Arial"/>
          <w:color w:val="222222"/>
          <w:sz w:val="28"/>
          <w:szCs w:val="28"/>
        </w:rPr>
        <w:t xml:space="preserve"> In January of 2004, the FTC issued an Advisory Opinion discussing, in part, the FTC’s “analysis of compensation based on personal consumption by members of a multi-level company’s sales force.” Ex. 114 (“2004 FTC Advisory Op.”) at 1. The FTC provided the following guidance: Much has been made of </w:t>
      </w:r>
      <w:r w:rsidRPr="0082474A">
        <w:rPr>
          <w:rFonts w:ascii="Arial" w:eastAsia="Times New Roman" w:hAnsi="Arial" w:cs="Arial"/>
          <w:color w:val="222222"/>
          <w:sz w:val="28"/>
          <w:szCs w:val="28"/>
          <w:shd w:val="clear" w:color="auto" w:fill="FFFF00"/>
        </w:rPr>
        <w:t xml:space="preserve">the personal or internal consumption issue in recent years. The amount of internal consumption in any multi-level compensation business does not determine whether or not the FTC will consider the plan a pyramid scheme. The critical question for the FTC is whether the revenues that primarily support the commissions paid to all participants are generated from purchases of goods and services that are not simply incidental to the purchase of the right to participate in a money-making venture. A multi-level compensation system funded primarily by such non-incidental revenues does not depend on the continual recruitment of new participants, and, therefore, does not guarantee financial failure for the majority of participants. </w:t>
      </w:r>
      <w:r w:rsidRPr="0082474A">
        <w:rPr>
          <w:rFonts w:ascii="Arial" w:eastAsia="Times New Roman" w:hAnsi="Arial" w:cs="Arial"/>
          <w:color w:val="222222"/>
          <w:sz w:val="28"/>
          <w:szCs w:val="28"/>
        </w:rPr>
        <w:t xml:space="preserve">In contrast, a </w:t>
      </w:r>
      <w:r w:rsidRPr="0082474A">
        <w:rPr>
          <w:rFonts w:ascii="Arial" w:eastAsia="Times New Roman" w:hAnsi="Arial" w:cs="Arial"/>
          <w:color w:val="222222"/>
          <w:sz w:val="28"/>
          <w:szCs w:val="28"/>
        </w:rPr>
        <w:lastRenderedPageBreak/>
        <w:t xml:space="preserve">multi-level compensation system funded primarily by payments made for the right to participate in the venture is an illegal pyramid scheme. Id. (emphasis added). </w:t>
      </w:r>
      <w:r w:rsidRPr="0082474A">
        <w:rPr>
          <w:rFonts w:ascii="Arial" w:eastAsia="Times New Roman" w:hAnsi="Arial" w:cs="Arial"/>
          <w:color w:val="222222"/>
          <w:sz w:val="28"/>
          <w:szCs w:val="28"/>
          <w:shd w:val="clear" w:color="auto" w:fill="FFFF00"/>
        </w:rPr>
        <w:t xml:space="preserve">The 2004 Advisory Opinion further distinguished an illegal pyramid scheme from a legitimate </w:t>
      </w:r>
      <w:proofErr w:type="gramStart"/>
      <w:r w:rsidRPr="0082474A">
        <w:rPr>
          <w:rFonts w:ascii="Arial" w:eastAsia="Times New Roman" w:hAnsi="Arial" w:cs="Arial"/>
          <w:color w:val="222222"/>
          <w:sz w:val="28"/>
          <w:szCs w:val="28"/>
          <w:shd w:val="clear" w:color="auto" w:fill="FFFF00"/>
        </w:rPr>
        <w:t>buyers</w:t>
      </w:r>
      <w:proofErr w:type="gramEnd"/>
      <w:r w:rsidRPr="0082474A">
        <w:rPr>
          <w:rFonts w:ascii="Arial" w:eastAsia="Times New Roman" w:hAnsi="Arial" w:cs="Arial"/>
          <w:color w:val="222222"/>
          <w:sz w:val="28"/>
          <w:szCs w:val="28"/>
          <w:shd w:val="clear" w:color="auto" w:fill="FFFF00"/>
        </w:rPr>
        <w:t xml:space="preserve"> club, </w:t>
      </w:r>
      <w:r w:rsidRPr="0082474A">
        <w:rPr>
          <w:rFonts w:ascii="Arial" w:eastAsia="Times New Roman" w:hAnsi="Arial" w:cs="Arial"/>
          <w:color w:val="222222"/>
          <w:sz w:val="28"/>
          <w:szCs w:val="28"/>
        </w:rPr>
        <w:t>which “confers the right to purchase goods and services at a discount” and is distinguishable from a pyramid scheme, in part, because “the purchase of goods and services is not merely incidentally to the right to participate in a money-making venture, but rather the very reason participants join the program.” Id. at 2. In January 2018, the FTC released a staff business guidance document, “Business Guidance Concerning Multi-Level Marketing.” Ex. 115 (“2018 FTC Guidance”). Although not legally binding, the guidance purported to “assist multi-level marketers” in applying core consumer protection principles to their businesses. Id. at 1.</w:t>
      </w:r>
      <w:r w:rsidRPr="0082474A">
        <w:rPr>
          <w:rFonts w:ascii="Arial" w:eastAsia="Times New Roman" w:hAnsi="Arial" w:cs="Arial"/>
          <w:color w:val="222222"/>
          <w:sz w:val="28"/>
          <w:szCs w:val="28"/>
          <w:shd w:val="clear" w:color="auto" w:fill="FFFF00"/>
        </w:rPr>
        <w:t xml:space="preserve"> In the guidance, the FTC noted that Case 3:20-cv-01979-M Document 347 Filed 09/28/23 Page 28 of 56 </w:t>
      </w:r>
      <w:proofErr w:type="spellStart"/>
      <w:r w:rsidRPr="0082474A">
        <w:rPr>
          <w:rFonts w:ascii="Arial" w:eastAsia="Times New Roman" w:hAnsi="Arial" w:cs="Arial"/>
          <w:color w:val="222222"/>
          <w:sz w:val="28"/>
          <w:szCs w:val="28"/>
          <w:shd w:val="clear" w:color="auto" w:fill="FFFF00"/>
        </w:rPr>
        <w:t>PageID</w:t>
      </w:r>
      <w:proofErr w:type="spellEnd"/>
      <w:r w:rsidRPr="0082474A">
        <w:rPr>
          <w:rFonts w:ascii="Arial" w:eastAsia="Times New Roman" w:hAnsi="Arial" w:cs="Arial"/>
          <w:color w:val="222222"/>
          <w:sz w:val="28"/>
          <w:szCs w:val="28"/>
          <w:shd w:val="clear" w:color="auto" w:fill="FFFF00"/>
        </w:rPr>
        <w:t xml:space="preserve"> 21353 29 “[p]</w:t>
      </w:r>
      <w:proofErr w:type="spellStart"/>
      <w:r w:rsidRPr="0082474A">
        <w:rPr>
          <w:rFonts w:ascii="Arial" w:eastAsia="Times New Roman" w:hAnsi="Arial" w:cs="Arial"/>
          <w:color w:val="222222"/>
          <w:sz w:val="28"/>
          <w:szCs w:val="28"/>
          <w:shd w:val="clear" w:color="auto" w:fill="FFFF00"/>
        </w:rPr>
        <w:t>roduct</w:t>
      </w:r>
      <w:proofErr w:type="spellEnd"/>
      <w:r w:rsidRPr="0082474A">
        <w:rPr>
          <w:rFonts w:ascii="Arial" w:eastAsia="Times New Roman" w:hAnsi="Arial" w:cs="Arial"/>
          <w:color w:val="222222"/>
          <w:sz w:val="28"/>
          <w:szCs w:val="28"/>
          <w:shd w:val="clear" w:color="auto" w:fill="FFFF00"/>
        </w:rPr>
        <w:t xml:space="preserve"> that is purchased and consumed by participants to satisfy their own genuine product demand—as distinct from all product purchased by participants that is not resold—is not in itself indicative of a problematic MLM compensation structure,” and instead the analysis “involves a comprehensive analysis of a variety of factors.” </w:t>
      </w:r>
      <w:r w:rsidRPr="0082474A">
        <w:rPr>
          <w:rFonts w:ascii="Arial" w:eastAsia="Times New Roman" w:hAnsi="Arial" w:cs="Arial"/>
          <w:color w:val="222222"/>
          <w:sz w:val="28"/>
          <w:szCs w:val="28"/>
        </w:rPr>
        <w:t xml:space="preserve">Id. at 2. In doing so, </w:t>
      </w:r>
      <w:r w:rsidRPr="0082474A">
        <w:rPr>
          <w:rFonts w:ascii="Arial" w:eastAsia="Times New Roman" w:hAnsi="Arial" w:cs="Arial"/>
          <w:color w:val="222222"/>
          <w:sz w:val="28"/>
          <w:szCs w:val="28"/>
          <w:shd w:val="clear" w:color="auto" w:fill="FFFF00"/>
        </w:rPr>
        <w:t xml:space="preserve">the FTC affirmed its prior 2004 Advisory Opinion, noting that </w:t>
      </w:r>
      <w:r w:rsidRPr="0082474A">
        <w:rPr>
          <w:rFonts w:ascii="Arial" w:eastAsia="Times New Roman" w:hAnsi="Arial" w:cs="Arial"/>
          <w:color w:val="222222"/>
          <w:sz w:val="28"/>
          <w:szCs w:val="28"/>
          <w:shd w:val="clear" w:color="auto" w:fill="FFFF00"/>
        </w:rPr>
        <w:lastRenderedPageBreak/>
        <w:t xml:space="preserve">“when evaluating the issue of participants’ internal consumption, the FTC staff is likely to consider, among other factors, </w:t>
      </w:r>
      <w:r w:rsidRPr="0082474A">
        <w:rPr>
          <w:rFonts w:ascii="Arial" w:eastAsia="Times New Roman" w:hAnsi="Arial" w:cs="Arial"/>
          <w:color w:val="222222"/>
          <w:sz w:val="28"/>
          <w:szCs w:val="28"/>
        </w:rPr>
        <w:t>both (</w:t>
      </w:r>
      <w:proofErr w:type="spellStart"/>
      <w:r w:rsidRPr="0082474A">
        <w:rPr>
          <w:rFonts w:ascii="Arial" w:eastAsia="Times New Roman" w:hAnsi="Arial" w:cs="Arial"/>
          <w:color w:val="222222"/>
          <w:sz w:val="28"/>
          <w:szCs w:val="28"/>
        </w:rPr>
        <w:t>i</w:t>
      </w:r>
      <w:proofErr w:type="spellEnd"/>
      <w:r w:rsidRPr="0082474A">
        <w:rPr>
          <w:rFonts w:ascii="Arial" w:eastAsia="Times New Roman" w:hAnsi="Arial" w:cs="Arial"/>
          <w:color w:val="222222"/>
          <w:sz w:val="28"/>
          <w:szCs w:val="28"/>
          <w:shd w:val="clear" w:color="auto" w:fill="FFFF00"/>
        </w:rPr>
        <w:t>) whether features of the MLM’s compensation structure incentivize or encourage participants to purchase a product for reasons other than satisfying genuine demand; and (ii) information bearing on whether purchases were made to satisfy personal demand to consume the product.” Id. at 2–3. 2. </w:t>
      </w:r>
    </w:p>
    <w:p w14:paraId="757F087D"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257597B3"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Analysis The first element of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test, whether BPs pay money in exchange for the right to sell a product, is met here; to enroll as a Neora BP and receive the right to sell </w:t>
      </w:r>
      <w:proofErr w:type="spellStart"/>
      <w:r w:rsidRPr="0082474A">
        <w:rPr>
          <w:rFonts w:ascii="Arial" w:eastAsia="Times New Roman" w:hAnsi="Arial" w:cs="Arial"/>
          <w:color w:val="222222"/>
          <w:sz w:val="28"/>
          <w:szCs w:val="28"/>
        </w:rPr>
        <w:t>Neora’s</w:t>
      </w:r>
      <w:proofErr w:type="spellEnd"/>
      <w:r w:rsidRPr="0082474A">
        <w:rPr>
          <w:rFonts w:ascii="Arial" w:eastAsia="Times New Roman" w:hAnsi="Arial" w:cs="Arial"/>
          <w:color w:val="222222"/>
          <w:sz w:val="28"/>
          <w:szCs w:val="28"/>
        </w:rPr>
        <w:t xml:space="preserve"> products, one must pay a minimum of $20 for an Enrollment Kit. Accordingly, the Court’s discussion will focus on the second element of the </w:t>
      </w:r>
      <w:proofErr w:type="spellStart"/>
      <w:r w:rsidRPr="0082474A">
        <w:rPr>
          <w:rFonts w:ascii="Arial" w:eastAsia="Times New Roman" w:hAnsi="Arial" w:cs="Arial"/>
          <w:color w:val="222222"/>
          <w:sz w:val="28"/>
          <w:szCs w:val="28"/>
        </w:rPr>
        <w:t>Koscot</w:t>
      </w:r>
      <w:proofErr w:type="spellEnd"/>
      <w:r w:rsidRPr="0082474A">
        <w:rPr>
          <w:rFonts w:ascii="Arial" w:eastAsia="Times New Roman" w:hAnsi="Arial" w:cs="Arial"/>
          <w:color w:val="222222"/>
          <w:sz w:val="28"/>
          <w:szCs w:val="28"/>
        </w:rPr>
        <w:t xml:space="preserve"> test—whether Neora BPs receive rewards for recruiting other participants, unrelated to the sale of product to ultimate users— interpreted through the lens the Fifth Circuit’s guidance in Torres I and Torres II, and other relevant authority. </w:t>
      </w:r>
    </w:p>
    <w:p w14:paraId="2B498445" w14:textId="77777777" w:rsidR="0082474A" w:rsidRPr="0082474A" w:rsidRDefault="0082474A" w:rsidP="0082474A">
      <w:pPr>
        <w:spacing w:after="240" w:line="240" w:lineRule="auto"/>
        <w:rPr>
          <w:rFonts w:ascii="Times New Roman" w:eastAsia="Times New Roman" w:hAnsi="Times New Roman" w:cs="Times New Roman"/>
          <w:sz w:val="24"/>
          <w:szCs w:val="24"/>
        </w:rPr>
      </w:pPr>
      <w:r w:rsidRPr="0082474A">
        <w:rPr>
          <w:rFonts w:ascii="Times New Roman" w:eastAsia="Times New Roman" w:hAnsi="Times New Roman" w:cs="Times New Roman"/>
          <w:sz w:val="24"/>
          <w:szCs w:val="24"/>
        </w:rPr>
        <w:br/>
      </w:r>
      <w:r w:rsidRPr="0082474A">
        <w:rPr>
          <w:rFonts w:ascii="Times New Roman" w:eastAsia="Times New Roman" w:hAnsi="Times New Roman" w:cs="Times New Roman"/>
          <w:sz w:val="24"/>
          <w:szCs w:val="24"/>
        </w:rPr>
        <w:br/>
      </w:r>
    </w:p>
    <w:p w14:paraId="3E642787"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xml:space="preserve">Dr. </w:t>
      </w:r>
      <w:proofErr w:type="spellStart"/>
      <w:r w:rsidRPr="0082474A">
        <w:rPr>
          <w:rFonts w:ascii="Arial" w:eastAsia="Times New Roman" w:hAnsi="Arial" w:cs="Arial"/>
          <w:color w:val="222222"/>
          <w:sz w:val="28"/>
          <w:szCs w:val="28"/>
        </w:rPr>
        <w:t>Bosley</w:t>
      </w:r>
      <w:proofErr w:type="spellEnd"/>
      <w:r w:rsidRPr="0082474A">
        <w:rPr>
          <w:rFonts w:ascii="Arial" w:eastAsia="Times New Roman" w:hAnsi="Arial" w:cs="Arial"/>
          <w:color w:val="222222"/>
          <w:sz w:val="28"/>
          <w:szCs w:val="28"/>
        </w:rPr>
        <w:t xml:space="preserve"> states in her report that “[f]or all Brand Partners who enrolled between 2012 and 2020 . . . 74% recruited no Brand Partners, 85% recruited one or fewer Brand Partners, and 89% recruited two or fewer Brand Partners.”)</w:t>
      </w:r>
    </w:p>
    <w:p w14:paraId="234D456E"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lastRenderedPageBreak/>
        <w:t xml:space="preserve">The Court will address each Count in turn. A. Count 1: Pyramid Scheme “The operation of a pyramid scheme constitutes an unfair or deceptive act or practice in or affecting commerce for the purposes of § 5(a).” FTC v. </w:t>
      </w:r>
      <w:proofErr w:type="spellStart"/>
      <w:r w:rsidRPr="0082474A">
        <w:rPr>
          <w:rFonts w:ascii="Arial" w:eastAsia="Times New Roman" w:hAnsi="Arial" w:cs="Arial"/>
          <w:color w:val="222222"/>
          <w:sz w:val="28"/>
          <w:szCs w:val="28"/>
        </w:rPr>
        <w:t>BurnLounge</w:t>
      </w:r>
      <w:proofErr w:type="spellEnd"/>
      <w:r w:rsidRPr="0082474A">
        <w:rPr>
          <w:rFonts w:ascii="Arial" w:eastAsia="Times New Roman" w:hAnsi="Arial" w:cs="Arial"/>
          <w:color w:val="222222"/>
          <w:sz w:val="28"/>
          <w:szCs w:val="28"/>
        </w:rPr>
        <w:t>, Inc., 753 F.3d 878, 880 (9th Cir. 2014). </w:t>
      </w:r>
    </w:p>
    <w:p w14:paraId="666D4934"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099E2B3B"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rPr>
        <w:t> </w:t>
      </w:r>
      <w:r w:rsidRPr="0082474A">
        <w:rPr>
          <w:rFonts w:ascii="Arial" w:eastAsia="Times New Roman" w:hAnsi="Arial" w:cs="Arial"/>
          <w:color w:val="222222"/>
          <w:sz w:val="28"/>
          <w:szCs w:val="28"/>
          <w:shd w:val="clear" w:color="auto" w:fill="FFFF00"/>
        </w:rPr>
        <w:t xml:space="preserve">Dr. </w:t>
      </w:r>
      <w:proofErr w:type="spellStart"/>
      <w:r w:rsidRPr="0082474A">
        <w:rPr>
          <w:rFonts w:ascii="Arial" w:eastAsia="Times New Roman" w:hAnsi="Arial" w:cs="Arial"/>
          <w:color w:val="222222"/>
          <w:sz w:val="28"/>
          <w:szCs w:val="28"/>
          <w:shd w:val="clear" w:color="auto" w:fill="FFFF00"/>
        </w:rPr>
        <w:t>Bosley</w:t>
      </w:r>
      <w:proofErr w:type="spellEnd"/>
      <w:r w:rsidRPr="0082474A">
        <w:rPr>
          <w:rFonts w:ascii="Arial" w:eastAsia="Times New Roman" w:hAnsi="Arial" w:cs="Arial"/>
          <w:color w:val="222222"/>
          <w:sz w:val="28"/>
          <w:szCs w:val="28"/>
          <w:shd w:val="clear" w:color="auto" w:fill="FFFF00"/>
        </w:rPr>
        <w:t xml:space="preserve"> further testified, based on a review of operational data, that the vast majority of participants will lose money; she found that 96% of the approximately 400,000 BPs that have been part of Neora have lost money.</w:t>
      </w:r>
      <w:r w:rsidRPr="0082474A">
        <w:rPr>
          <w:rFonts w:ascii="Arial" w:eastAsia="Times New Roman" w:hAnsi="Arial" w:cs="Arial"/>
          <w:color w:val="222222"/>
          <w:sz w:val="28"/>
          <w:szCs w:val="28"/>
        </w:rPr>
        <w:t xml:space="preserve">115 Dr. </w:t>
      </w:r>
      <w:proofErr w:type="spellStart"/>
      <w:r w:rsidRPr="0082474A">
        <w:rPr>
          <w:rFonts w:ascii="Arial" w:eastAsia="Times New Roman" w:hAnsi="Arial" w:cs="Arial"/>
          <w:color w:val="222222"/>
          <w:sz w:val="28"/>
          <w:szCs w:val="28"/>
        </w:rPr>
        <w:t>Bosley</w:t>
      </w:r>
      <w:proofErr w:type="spellEnd"/>
      <w:r w:rsidRPr="0082474A">
        <w:rPr>
          <w:rFonts w:ascii="Arial" w:eastAsia="Times New Roman" w:hAnsi="Arial" w:cs="Arial"/>
          <w:color w:val="222222"/>
          <w:sz w:val="28"/>
          <w:szCs w:val="28"/>
        </w:rPr>
        <w:t xml:space="preserve"> testified that the </w:t>
      </w:r>
      <w:r w:rsidRPr="0082474A">
        <w:rPr>
          <w:rFonts w:ascii="Arial" w:eastAsia="Times New Roman" w:hAnsi="Arial" w:cs="Arial"/>
          <w:color w:val="222222"/>
          <w:sz w:val="28"/>
          <w:szCs w:val="28"/>
          <w:shd w:val="clear" w:color="auto" w:fill="FFFF00"/>
        </w:rPr>
        <w:t>FTC provided her with two legal assumptions</w:t>
      </w:r>
      <w:r w:rsidRPr="0082474A">
        <w:rPr>
          <w:rFonts w:ascii="Arial" w:eastAsia="Times New Roman" w:hAnsi="Arial" w:cs="Arial"/>
          <w:color w:val="222222"/>
          <w:sz w:val="28"/>
          <w:szCs w:val="28"/>
        </w:rPr>
        <w:t xml:space="preserve"> for her work in this case, both taken from the Ninth Circuit’s decision in </w:t>
      </w:r>
      <w:proofErr w:type="spellStart"/>
      <w:r w:rsidRPr="0082474A">
        <w:rPr>
          <w:rFonts w:ascii="Arial" w:eastAsia="Times New Roman" w:hAnsi="Arial" w:cs="Arial"/>
          <w:color w:val="222222"/>
          <w:sz w:val="28"/>
          <w:szCs w:val="28"/>
        </w:rPr>
        <w:t>BurnLounge</w:t>
      </w:r>
      <w:proofErr w:type="spellEnd"/>
      <w:r w:rsidRPr="0082474A">
        <w:rPr>
          <w:rFonts w:ascii="Arial" w:eastAsia="Times New Roman" w:hAnsi="Arial" w:cs="Arial"/>
          <w:color w:val="222222"/>
          <w:sz w:val="28"/>
          <w:szCs w:val="28"/>
        </w:rPr>
        <w:t xml:space="preserve">: first, that </w:t>
      </w:r>
      <w:r w:rsidRPr="0082474A">
        <w:rPr>
          <w:rFonts w:ascii="Arial" w:eastAsia="Times New Roman" w:hAnsi="Arial" w:cs="Arial"/>
          <w:color w:val="222222"/>
          <w:sz w:val="28"/>
          <w:szCs w:val="28"/>
          <w:shd w:val="clear" w:color="auto" w:fill="FFFF00"/>
        </w:rPr>
        <w:t xml:space="preserve">an ultimate user is limited to a person who would have purchased the product even if not for the business opportunity; </w:t>
      </w:r>
      <w:r w:rsidRPr="0082474A">
        <w:rPr>
          <w:rFonts w:ascii="Arial" w:eastAsia="Times New Roman" w:hAnsi="Arial" w:cs="Arial"/>
          <w:color w:val="222222"/>
          <w:sz w:val="28"/>
          <w:szCs w:val="28"/>
        </w:rPr>
        <w:t xml:space="preserve">and second, </w:t>
      </w:r>
      <w:r w:rsidRPr="0082474A">
        <w:rPr>
          <w:rFonts w:ascii="Arial" w:eastAsia="Times New Roman" w:hAnsi="Arial" w:cs="Arial"/>
          <w:color w:val="222222"/>
          <w:sz w:val="28"/>
          <w:szCs w:val="28"/>
          <w:shd w:val="clear" w:color="auto" w:fill="FFFF00"/>
        </w:rPr>
        <w:t>that rewards don’t have to be completely unrelated to ultimate user sales for something to be a pyramid scheme, i.e., that the existence of some sales to ultimate users for consumption does not prevent the plan from being an illegal pyramid scheme</w:t>
      </w:r>
      <w:r w:rsidRPr="0082474A">
        <w:rPr>
          <w:rFonts w:ascii="Arial" w:eastAsia="Times New Roman" w:hAnsi="Arial" w:cs="Arial"/>
          <w:color w:val="222222"/>
          <w:sz w:val="28"/>
          <w:szCs w:val="28"/>
        </w:rPr>
        <w:t xml:space="preserve">.116 </w:t>
      </w:r>
      <w:r w:rsidRPr="0082474A">
        <w:rPr>
          <w:rFonts w:ascii="Arial" w:eastAsia="Times New Roman" w:hAnsi="Arial" w:cs="Arial"/>
          <w:color w:val="222222"/>
          <w:sz w:val="28"/>
          <w:szCs w:val="28"/>
          <w:shd w:val="clear" w:color="auto" w:fill="FFFF00"/>
        </w:rPr>
        <w:t xml:space="preserve">Dr. </w:t>
      </w:r>
      <w:proofErr w:type="spellStart"/>
      <w:r w:rsidRPr="0082474A">
        <w:rPr>
          <w:rFonts w:ascii="Arial" w:eastAsia="Times New Roman" w:hAnsi="Arial" w:cs="Arial"/>
          <w:color w:val="222222"/>
          <w:sz w:val="28"/>
          <w:szCs w:val="28"/>
          <w:shd w:val="clear" w:color="auto" w:fill="FFFF00"/>
        </w:rPr>
        <w:t>Bosley</w:t>
      </w:r>
      <w:proofErr w:type="spellEnd"/>
      <w:r w:rsidRPr="0082474A">
        <w:rPr>
          <w:rFonts w:ascii="Arial" w:eastAsia="Times New Roman" w:hAnsi="Arial" w:cs="Arial"/>
          <w:color w:val="222222"/>
          <w:sz w:val="28"/>
          <w:szCs w:val="28"/>
          <w:shd w:val="clear" w:color="auto" w:fill="FFFF00"/>
        </w:rPr>
        <w:t xml:space="preserve"> also relied on her own third, uniform assumption: that BPs mainly purchase product in pursuit of the business opportunity, a</w:t>
      </w:r>
      <w:r w:rsidRPr="0082474A">
        <w:rPr>
          <w:rFonts w:ascii="Arial" w:eastAsia="Times New Roman" w:hAnsi="Arial" w:cs="Arial"/>
          <w:color w:val="222222"/>
          <w:sz w:val="28"/>
          <w:szCs w:val="28"/>
        </w:rPr>
        <w:t xml:space="preserve">nd thus none of BPs’ purchases for personal consumption qualify as sales to an ultimate end user.117 </w:t>
      </w:r>
      <w:r w:rsidRPr="0082474A">
        <w:rPr>
          <w:rFonts w:ascii="Arial" w:eastAsia="Times New Roman" w:hAnsi="Arial" w:cs="Arial"/>
          <w:color w:val="222222"/>
          <w:sz w:val="28"/>
          <w:szCs w:val="28"/>
          <w:shd w:val="clear" w:color="auto" w:fill="FFFF00"/>
        </w:rPr>
        <w:t xml:space="preserve">Put differently, Dr. </w:t>
      </w:r>
      <w:proofErr w:type="spellStart"/>
      <w:r w:rsidRPr="0082474A">
        <w:rPr>
          <w:rFonts w:ascii="Arial" w:eastAsia="Times New Roman" w:hAnsi="Arial" w:cs="Arial"/>
          <w:color w:val="222222"/>
          <w:sz w:val="28"/>
          <w:szCs w:val="28"/>
          <w:shd w:val="clear" w:color="auto" w:fill="FFFF00"/>
        </w:rPr>
        <w:t>Bosley</w:t>
      </w:r>
      <w:proofErr w:type="spellEnd"/>
      <w:r w:rsidRPr="0082474A">
        <w:rPr>
          <w:rFonts w:ascii="Arial" w:eastAsia="Times New Roman" w:hAnsi="Arial" w:cs="Arial"/>
          <w:color w:val="222222"/>
          <w:sz w:val="28"/>
          <w:szCs w:val="28"/>
          <w:shd w:val="clear" w:color="auto" w:fill="FFFF00"/>
        </w:rPr>
        <w:t xml:space="preserve">— and, by extension, the FTC—assumes that purchases by BPs are never ultimate user sales. The Court </w:t>
      </w:r>
      <w:r w:rsidRPr="0082474A">
        <w:rPr>
          <w:rFonts w:ascii="Arial" w:eastAsia="Times New Roman" w:hAnsi="Arial" w:cs="Arial"/>
          <w:color w:val="222222"/>
          <w:sz w:val="28"/>
          <w:szCs w:val="28"/>
          <w:shd w:val="clear" w:color="auto" w:fill="FFFF00"/>
        </w:rPr>
        <w:lastRenderedPageBreak/>
        <w:t xml:space="preserve">finds that Dr. </w:t>
      </w:r>
      <w:proofErr w:type="spellStart"/>
      <w:r w:rsidRPr="0082474A">
        <w:rPr>
          <w:rFonts w:ascii="Arial" w:eastAsia="Times New Roman" w:hAnsi="Arial" w:cs="Arial"/>
          <w:color w:val="222222"/>
          <w:sz w:val="28"/>
          <w:szCs w:val="28"/>
          <w:shd w:val="clear" w:color="auto" w:fill="FFFF00"/>
        </w:rPr>
        <w:t>Bosley’s</w:t>
      </w:r>
      <w:proofErr w:type="spellEnd"/>
      <w:r w:rsidRPr="0082474A">
        <w:rPr>
          <w:rFonts w:ascii="Arial" w:eastAsia="Times New Roman" w:hAnsi="Arial" w:cs="Arial"/>
          <w:color w:val="222222"/>
          <w:sz w:val="28"/>
          <w:szCs w:val="28"/>
          <w:shd w:val="clear" w:color="auto" w:fill="FFFF00"/>
        </w:rPr>
        <w:t xml:space="preserve"> third assumption is not supported by the evidence, and the FTC provides no other evidence to show that BP purchases should be uniformly treated not as sales to ultimate users. In addition, the Court finds that the FTC improperly discounts the significance of the large volume of sales to PCs when evaluating whether the recruitment-based rewards, discussed previously, are “unrelated to” sale of Neora product to ultimate users. </w:t>
      </w:r>
      <w:r w:rsidRPr="0082474A">
        <w:rPr>
          <w:rFonts w:ascii="Arial" w:eastAsia="Times New Roman" w:hAnsi="Arial" w:cs="Arial"/>
          <w:color w:val="000000"/>
          <w:sz w:val="28"/>
          <w:szCs w:val="28"/>
          <w:shd w:val="clear" w:color="auto" w:fill="FFFF00"/>
        </w:rPr>
        <w:t xml:space="preserve">For these reasons, the Court finds that the FTC has not established the second prong of the </w:t>
      </w:r>
      <w:proofErr w:type="spellStart"/>
      <w:r w:rsidRPr="0082474A">
        <w:rPr>
          <w:rFonts w:ascii="Arial" w:eastAsia="Times New Roman" w:hAnsi="Arial" w:cs="Arial"/>
          <w:color w:val="000000"/>
          <w:sz w:val="28"/>
          <w:szCs w:val="28"/>
          <w:shd w:val="clear" w:color="auto" w:fill="FFFF00"/>
        </w:rPr>
        <w:t>Koscot</w:t>
      </w:r>
      <w:proofErr w:type="spellEnd"/>
      <w:r w:rsidRPr="0082474A">
        <w:rPr>
          <w:rFonts w:ascii="Arial" w:eastAsia="Times New Roman" w:hAnsi="Arial" w:cs="Arial"/>
          <w:color w:val="000000"/>
          <w:sz w:val="28"/>
          <w:szCs w:val="28"/>
          <w:shd w:val="clear" w:color="auto" w:fill="FFFF00"/>
        </w:rPr>
        <w:t xml:space="preserve"> test, and concludes that Neora is not operating as an illegal </w:t>
      </w:r>
    </w:p>
    <w:p w14:paraId="13ED3A06" w14:textId="77777777" w:rsidR="0082474A" w:rsidRPr="0082474A" w:rsidRDefault="0082474A" w:rsidP="0082474A">
      <w:pPr>
        <w:spacing w:after="240" w:line="240" w:lineRule="auto"/>
        <w:rPr>
          <w:rFonts w:ascii="Times New Roman" w:eastAsia="Times New Roman" w:hAnsi="Times New Roman" w:cs="Times New Roman"/>
          <w:sz w:val="24"/>
          <w:szCs w:val="24"/>
        </w:rPr>
      </w:pPr>
    </w:p>
    <w:p w14:paraId="0ED7A584"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000000"/>
          <w:sz w:val="28"/>
          <w:szCs w:val="28"/>
          <w:shd w:val="clear" w:color="auto" w:fill="FFFF00"/>
        </w:rPr>
        <w:t>pyramid scheme.</w:t>
      </w:r>
      <w:r w:rsidRPr="0082474A">
        <w:rPr>
          <w:rFonts w:ascii="Arial" w:eastAsia="Times New Roman" w:hAnsi="Arial" w:cs="Arial"/>
          <w:color w:val="222222"/>
          <w:sz w:val="28"/>
          <w:szCs w:val="28"/>
          <w:shd w:val="clear" w:color="auto" w:fill="FFFF00"/>
        </w:rPr>
        <w:t xml:space="preserve"> </w:t>
      </w:r>
      <w:r w:rsidRPr="0082474A">
        <w:rPr>
          <w:rFonts w:ascii="Arial" w:eastAsia="Times New Roman" w:hAnsi="Arial" w:cs="Arial"/>
          <w:color w:val="222222"/>
          <w:sz w:val="28"/>
          <w:szCs w:val="28"/>
        </w:rPr>
        <w:t>115 Tr. 1-A at 60–61. 116 Tr. 1-A at 58–59; Ex. 622 ¶ 14. 117 Tr. 1-B at 47 (“I do assume when you are a Brand Partner, you are mainly purchasing the product in pursuit of the business opportunity. . . . It is a uniform assumption, yes.”)</w:t>
      </w:r>
    </w:p>
    <w:p w14:paraId="01F56850" w14:textId="77777777" w:rsidR="0082474A" w:rsidRPr="0082474A" w:rsidRDefault="0082474A" w:rsidP="0082474A">
      <w:pPr>
        <w:spacing w:after="0" w:line="240" w:lineRule="auto"/>
        <w:rPr>
          <w:rFonts w:ascii="Times New Roman" w:eastAsia="Times New Roman" w:hAnsi="Times New Roman" w:cs="Times New Roman"/>
          <w:sz w:val="24"/>
          <w:szCs w:val="24"/>
        </w:rPr>
      </w:pPr>
    </w:p>
    <w:p w14:paraId="3EAF70BF" w14:textId="77777777" w:rsidR="0082474A" w:rsidRPr="0082474A" w:rsidRDefault="0082474A" w:rsidP="0082474A">
      <w:pPr>
        <w:spacing w:after="0" w:line="480" w:lineRule="auto"/>
        <w:rPr>
          <w:rFonts w:ascii="Times New Roman" w:eastAsia="Times New Roman" w:hAnsi="Times New Roman" w:cs="Times New Roman"/>
          <w:sz w:val="24"/>
          <w:szCs w:val="24"/>
        </w:rPr>
      </w:pPr>
      <w:r w:rsidRPr="0082474A">
        <w:rPr>
          <w:rFonts w:ascii="Arial" w:eastAsia="Times New Roman" w:hAnsi="Arial" w:cs="Arial"/>
          <w:color w:val="222222"/>
          <w:sz w:val="28"/>
          <w:szCs w:val="28"/>
          <w:shd w:val="clear" w:color="auto" w:fill="00FFFF"/>
        </w:rPr>
        <w:t> </w:t>
      </w:r>
    </w:p>
    <w:p w14:paraId="7315E0B6" w14:textId="54909629" w:rsidR="00ED76A3" w:rsidRDefault="00ED76A3"/>
    <w:sectPr w:rsidR="00ED7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6256"/>
    <w:multiLevelType w:val="multilevel"/>
    <w:tmpl w:val="77C6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4A"/>
    <w:rsid w:val="00473C6D"/>
    <w:rsid w:val="0082474A"/>
    <w:rsid w:val="009A0E10"/>
    <w:rsid w:val="00BA50C7"/>
    <w:rsid w:val="00ED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645E"/>
  <w15:chartTrackingRefBased/>
  <w15:docId w15:val="{E713D4CB-8980-4B74-B5AA-16BD37BF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3789</Words>
  <Characters>21599</Characters>
  <Application>Microsoft Office Word</Application>
  <DocSecurity>0</DocSecurity>
  <Lines>179</Lines>
  <Paragraphs>50</Paragraphs>
  <ScaleCrop>false</ScaleCrop>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1</cp:revision>
  <dcterms:created xsi:type="dcterms:W3CDTF">2025-01-01T05:44:00Z</dcterms:created>
  <dcterms:modified xsi:type="dcterms:W3CDTF">2025-01-01T05:45:00Z</dcterms:modified>
</cp:coreProperties>
</file>