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E75596"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b/>
          <w:bCs/>
          <w:color w:val="212121"/>
          <w:sz w:val="28"/>
          <w:szCs w:val="28"/>
          <w:shd w:val="clear" w:color="auto" w:fill="FFFFFF"/>
        </w:rPr>
        <w:t>C.</w:t>
      </w:r>
      <w:r w:rsidRPr="008F798C">
        <w:rPr>
          <w:rFonts w:ascii="Century Schoolbook" w:eastAsia="Times New Roman" w:hAnsi="Century Schoolbook" w:cs="Times New Roman"/>
          <w:b/>
          <w:bCs/>
          <w:color w:val="212121"/>
          <w:sz w:val="28"/>
          <w:szCs w:val="28"/>
          <w:shd w:val="clear" w:color="auto" w:fill="FFFFFF"/>
        </w:rPr>
        <w:tab/>
      </w:r>
      <w:r w:rsidRPr="008F798C">
        <w:rPr>
          <w:rFonts w:ascii="Century Schoolbook" w:eastAsia="Times New Roman" w:hAnsi="Century Schoolbook" w:cs="Times New Roman"/>
          <w:b/>
          <w:bCs/>
          <w:i/>
          <w:iCs/>
          <w:color w:val="212121"/>
          <w:sz w:val="28"/>
          <w:szCs w:val="28"/>
          <w:shd w:val="clear" w:color="auto" w:fill="FFFFFF"/>
        </w:rPr>
        <w:t>Gold</w:t>
      </w:r>
      <w:r w:rsidRPr="008F798C">
        <w:rPr>
          <w:rFonts w:ascii="Century Schoolbook" w:eastAsia="Times New Roman" w:hAnsi="Century Schoolbook" w:cs="Times New Roman"/>
          <w:b/>
          <w:bCs/>
          <w:color w:val="212121"/>
          <w:sz w:val="28"/>
          <w:szCs w:val="28"/>
          <w:shd w:val="clear" w:color="auto" w:fill="FFFFFF"/>
        </w:rPr>
        <w:t xml:space="preserve"> Overview.</w:t>
      </w:r>
    </w:p>
    <w:p w14:paraId="09CB12DE" w14:textId="77777777" w:rsidR="008F798C" w:rsidRPr="008F798C" w:rsidRDefault="008F798C" w:rsidP="008F798C">
      <w:pPr>
        <w:spacing w:after="0" w:line="480" w:lineRule="auto"/>
        <w:ind w:firstLine="108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212121"/>
          <w:sz w:val="28"/>
          <w:szCs w:val="28"/>
          <w:shd w:val="clear" w:color="auto" w:fill="FFFFFF"/>
        </w:rPr>
        <w:t xml:space="preserve">Unlike a pyramid scheme, a scheme to defraud must involve intentional fraud: “[A] scheme to defraud must involve intentional fraud, consisting in deception intentionally practiced to induce another to part with property….” </w:t>
      </w:r>
      <w:r w:rsidRPr="008F798C">
        <w:rPr>
          <w:rFonts w:ascii="Century Schoolbook" w:eastAsia="Times New Roman" w:hAnsi="Century Schoolbook" w:cs="Times New Roman"/>
          <w:i/>
          <w:iCs/>
          <w:color w:val="212121"/>
          <w:sz w:val="28"/>
          <w:szCs w:val="28"/>
          <w:shd w:val="clear" w:color="auto" w:fill="FFFFFF"/>
        </w:rPr>
        <w:t xml:space="preserve">U.S. v. Frost, </w:t>
      </w:r>
      <w:r w:rsidRPr="008F798C">
        <w:rPr>
          <w:rFonts w:ascii="Century Schoolbook" w:eastAsia="Times New Roman" w:hAnsi="Century Schoolbook" w:cs="Times New Roman"/>
          <w:color w:val="212121"/>
          <w:sz w:val="28"/>
          <w:szCs w:val="28"/>
          <w:shd w:val="clear" w:color="auto" w:fill="FFFFFF"/>
        </w:rPr>
        <w:t>125 F.3d 346 (6</w:t>
      </w:r>
      <w:r w:rsidRPr="008F798C">
        <w:rPr>
          <w:rFonts w:ascii="Century Schoolbook" w:eastAsia="Times New Roman" w:hAnsi="Century Schoolbook" w:cs="Times New Roman"/>
          <w:color w:val="212121"/>
          <w:sz w:val="17"/>
          <w:szCs w:val="17"/>
          <w:shd w:val="clear" w:color="auto" w:fill="FFFFFF"/>
          <w:vertAlign w:val="superscript"/>
        </w:rPr>
        <w:t>th</w:t>
      </w:r>
      <w:r w:rsidRPr="008F798C">
        <w:rPr>
          <w:rFonts w:ascii="Century Schoolbook" w:eastAsia="Times New Roman" w:hAnsi="Century Schoolbook" w:cs="Times New Roman"/>
          <w:color w:val="212121"/>
          <w:sz w:val="28"/>
          <w:szCs w:val="28"/>
          <w:shd w:val="clear" w:color="auto" w:fill="FFFFFF"/>
        </w:rPr>
        <w:t xml:space="preserve"> Cir 1997).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addressed the Government’s attempt to prove that a pyramid scheme is a “scheme to defraud.” The Government claims that I2G was a “pyramid scheme” and, thus, a “scheme to defraud.” </w:t>
      </w:r>
    </w:p>
    <w:p w14:paraId="4E9F8B0A"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under plain-error review, affirmed the following definition of pyramid scheme: “[A]</w:t>
      </w:r>
      <w:proofErr w:type="spellStart"/>
      <w:r w:rsidRPr="008F798C">
        <w:rPr>
          <w:rFonts w:ascii="Century Schoolbook" w:eastAsia="Times New Roman" w:hAnsi="Century Schoolbook" w:cs="Times New Roman"/>
          <w:color w:val="212121"/>
          <w:sz w:val="28"/>
          <w:szCs w:val="28"/>
          <w:shd w:val="clear" w:color="auto" w:fill="FFFFFF"/>
        </w:rPr>
        <w:t>ny</w:t>
      </w:r>
      <w:proofErr w:type="spellEnd"/>
      <w:r w:rsidRPr="008F798C">
        <w:rPr>
          <w:rFonts w:ascii="Century Schoolbook" w:eastAsia="Times New Roman" w:hAnsi="Century Schoolbook" w:cs="Times New Roman"/>
          <w:color w:val="212121"/>
          <w:sz w:val="28"/>
          <w:szCs w:val="28"/>
          <w:shd w:val="clear" w:color="auto" w:fill="FFFFFF"/>
        </w:rPr>
        <w:t xml:space="preserve"> plan…characterized by the payment by participants of money to the company in return for which they receive the right to sell a product and the right to receive in return for recruiting other participants into the program rewards which are unrelated to the sale of the product to the ultimate user.”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 177 F.3d </w:t>
      </w:r>
      <w:r w:rsidRPr="008F798C">
        <w:rPr>
          <w:rFonts w:ascii="Century Schoolbook" w:eastAsia="Times New Roman" w:hAnsi="Century Schoolbook" w:cs="Times New Roman"/>
          <w:color w:val="212121"/>
          <w:sz w:val="28"/>
          <w:szCs w:val="28"/>
          <w:shd w:val="clear" w:color="auto" w:fill="FFFFFF"/>
        </w:rPr>
        <w:t xml:space="preserve">at 478-84. The Court explained that civil regulators have determined that certain plans will inevitably fail because they are dependent upon perpetual recruitment of new participants, which is impossible to sustain. </w:t>
      </w:r>
      <w:r w:rsidRPr="008F798C">
        <w:rPr>
          <w:rFonts w:ascii="Century Schoolbook" w:eastAsia="Times New Roman" w:hAnsi="Century Schoolbook" w:cs="Times New Roman"/>
          <w:i/>
          <w:iCs/>
          <w:color w:val="212121"/>
          <w:sz w:val="28"/>
          <w:szCs w:val="28"/>
          <w:shd w:val="clear" w:color="auto" w:fill="FFFFFF"/>
        </w:rPr>
        <w:t>Id.</w:t>
      </w:r>
      <w:r w:rsidRPr="008F798C">
        <w:rPr>
          <w:rFonts w:ascii="Century Schoolbook" w:eastAsia="Times New Roman" w:hAnsi="Century Schoolbook" w:cs="Times New Roman"/>
          <w:color w:val="212121"/>
          <w:sz w:val="28"/>
          <w:szCs w:val="28"/>
          <w:shd w:val="clear" w:color="auto" w:fill="FFFFFF"/>
        </w:rPr>
        <w:t xml:space="preserve">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endorsed the proposition that a “pyramid is improper only if it presents a danger of market saturation—that is, only if at some point, persons on </w:t>
      </w:r>
      <w:r w:rsidRPr="008F798C">
        <w:rPr>
          <w:rFonts w:ascii="Century Schoolbook" w:eastAsia="Times New Roman" w:hAnsi="Century Schoolbook" w:cs="Times New Roman"/>
          <w:color w:val="212121"/>
          <w:sz w:val="28"/>
          <w:szCs w:val="28"/>
          <w:shd w:val="clear" w:color="auto" w:fill="FFFFFF"/>
        </w:rPr>
        <w:lastRenderedPageBreak/>
        <w:t xml:space="preserve">the lowest tier of the structure will not be able to find new recruits.” </w:t>
      </w:r>
      <w:r w:rsidRPr="008F798C">
        <w:rPr>
          <w:rFonts w:ascii="Century Schoolbook" w:eastAsia="Times New Roman" w:hAnsi="Century Schoolbook" w:cs="Times New Roman"/>
          <w:i/>
          <w:iCs/>
          <w:color w:val="212121"/>
          <w:sz w:val="28"/>
          <w:szCs w:val="28"/>
          <w:shd w:val="clear" w:color="auto" w:fill="FFFFFF"/>
        </w:rPr>
        <w:t xml:space="preserve">Id. </w:t>
      </w:r>
      <w:r w:rsidRPr="008F798C">
        <w:rPr>
          <w:rFonts w:ascii="Century Schoolbook" w:eastAsia="Times New Roman" w:hAnsi="Century Schoolbook" w:cs="Times New Roman"/>
          <w:color w:val="212121"/>
          <w:sz w:val="28"/>
          <w:szCs w:val="28"/>
          <w:shd w:val="clear" w:color="auto" w:fill="FFFFFF"/>
        </w:rPr>
        <w:t xml:space="preserve">at 481. </w:t>
      </w:r>
      <w:r w:rsidRPr="008F798C">
        <w:rPr>
          <w:rFonts w:ascii="Century Schoolbook" w:eastAsia="Times New Roman" w:hAnsi="Century Schoolbook" w:cs="Times New Roman"/>
          <w:color w:val="000000"/>
          <w:sz w:val="28"/>
          <w:szCs w:val="28"/>
        </w:rPr>
        <w:t>Thus, a plan that is not doomed to failure and not dependent on endless recruits is not inherently fraudulent.</w:t>
      </w:r>
    </w:p>
    <w:p w14:paraId="59A5E7E8"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recognized that “[s]</w:t>
      </w:r>
      <w:proofErr w:type="spellStart"/>
      <w:r w:rsidRPr="008F798C">
        <w:rPr>
          <w:rFonts w:ascii="Century Schoolbook" w:eastAsia="Times New Roman" w:hAnsi="Century Schoolbook" w:cs="Times New Roman"/>
          <w:color w:val="000000"/>
          <w:sz w:val="28"/>
          <w:szCs w:val="28"/>
        </w:rPr>
        <w:t>ome</w:t>
      </w:r>
      <w:proofErr w:type="spellEnd"/>
      <w:r w:rsidRPr="008F798C">
        <w:rPr>
          <w:rFonts w:ascii="Century Schoolbook" w:eastAsia="Times New Roman" w:hAnsi="Century Schoolbook" w:cs="Times New Roman"/>
          <w:color w:val="000000"/>
          <w:sz w:val="28"/>
          <w:szCs w:val="28"/>
        </w:rPr>
        <w:t xml:space="preserve"> structures pose less risk of harm to investors and the public, however, and authorities permit those programs to operate even though the programs contain some elements of a pyramid scheme.”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 177 F.3d at 479-80. “Courts and legislatures recognize a distinction between legitimate programs (known as multi-level marketing systems) and illegal schemes.”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480. The Court encouraged future trial judges to supplement the definition used in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’s instructions </w:t>
      </w:r>
    </w:p>
    <w:p w14:paraId="4CBE90FD" w14:textId="77777777" w:rsidR="008F798C" w:rsidRPr="008F798C" w:rsidRDefault="008F798C" w:rsidP="008F798C">
      <w:pPr>
        <w:spacing w:after="0" w:line="240" w:lineRule="auto"/>
        <w:ind w:left="720" w:right="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to reflect the difference between legitimate multi-level marketing and illegal pyramids….For example, most states have statutes defining pyramid schemes….Many states prohibit only those schemes that compensate participants ‘primarily’ for the recruitment of new participants or that ‘are based primarily’ on the recruitment of new participants, as opposed to sales of goods or services. </w:t>
      </w:r>
    </w:p>
    <w:p w14:paraId="45CD0E5B" w14:textId="77777777" w:rsidR="008F798C" w:rsidRPr="008F798C" w:rsidRDefault="008F798C" w:rsidP="008F798C">
      <w:pPr>
        <w:spacing w:after="0" w:line="240" w:lineRule="auto"/>
        <w:rPr>
          <w:rFonts w:ascii="Times New Roman" w:eastAsia="Times New Roman" w:hAnsi="Times New Roman" w:cs="Times New Roman"/>
          <w:sz w:val="24"/>
          <w:szCs w:val="24"/>
        </w:rPr>
      </w:pPr>
    </w:p>
    <w:p w14:paraId="66AC87BB" w14:textId="77777777" w:rsidR="008F798C" w:rsidRPr="008F798C" w:rsidRDefault="008F798C" w:rsidP="008F798C">
      <w:pPr>
        <w:spacing w:after="0" w:line="480" w:lineRule="auto"/>
        <w:jc w:val="both"/>
        <w:rPr>
          <w:rFonts w:ascii="Times New Roman" w:eastAsia="Times New Roman" w:hAnsi="Times New Roman" w:cs="Times New Roman"/>
          <w:sz w:val="24"/>
          <w:szCs w:val="24"/>
        </w:rPr>
      </w:pP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483. In other words, this Court found that, even when a plan </w:t>
      </w:r>
      <w:r w:rsidRPr="008F798C">
        <w:rPr>
          <w:rFonts w:ascii="Century Schoolbook" w:eastAsia="Times New Roman" w:hAnsi="Century Schoolbook" w:cs="Times New Roman"/>
          <w:color w:val="212121"/>
          <w:sz w:val="28"/>
          <w:szCs w:val="28"/>
          <w:shd w:val="clear" w:color="auto" w:fill="FFFFFF"/>
        </w:rPr>
        <w:t xml:space="preserve">has participants paying to receive rewards unrelated to the sale of the product to the ultimate user in return for recruiting other participants, a plan would be legal so long as those rewards were not the “primary” </w:t>
      </w:r>
      <w:r w:rsidRPr="008F798C">
        <w:rPr>
          <w:rFonts w:ascii="Century Schoolbook" w:eastAsia="Times New Roman" w:hAnsi="Century Schoolbook" w:cs="Times New Roman"/>
          <w:color w:val="212121"/>
          <w:sz w:val="28"/>
          <w:szCs w:val="28"/>
          <w:shd w:val="clear" w:color="auto" w:fill="FFFFFF"/>
        </w:rPr>
        <w:lastRenderedPageBreak/>
        <w:t xml:space="preserve">compensation of participants. </w:t>
      </w:r>
      <w:r w:rsidRPr="008F798C">
        <w:rPr>
          <w:rFonts w:ascii="Century Schoolbook" w:eastAsia="Times New Roman" w:hAnsi="Century Schoolbook" w:cs="Times New Roman"/>
          <w:i/>
          <w:iCs/>
          <w:color w:val="212121"/>
          <w:sz w:val="28"/>
          <w:szCs w:val="28"/>
          <w:shd w:val="clear" w:color="auto" w:fill="FFFFFF"/>
        </w:rPr>
        <w:t xml:space="preserve">Gold </w:t>
      </w:r>
      <w:r w:rsidRPr="008F798C">
        <w:rPr>
          <w:rFonts w:ascii="Century Schoolbook" w:eastAsia="Times New Roman" w:hAnsi="Century Schoolbook" w:cs="Times New Roman"/>
          <w:color w:val="212121"/>
          <w:sz w:val="28"/>
          <w:szCs w:val="28"/>
          <w:shd w:val="clear" w:color="auto" w:fill="FFFFFF"/>
        </w:rPr>
        <w:t>also cited Kentucky’s pyramid statute (KRS 367.830), which clearly indicates that sales of good or services to participants in a plan constitute sales to ultimate users. </w:t>
      </w:r>
    </w:p>
    <w:p w14:paraId="03E00680" w14:textId="77777777" w:rsidR="008F798C" w:rsidRPr="008F798C" w:rsidRDefault="008F798C" w:rsidP="008F798C">
      <w:pPr>
        <w:spacing w:after="0" w:line="240" w:lineRule="auto"/>
        <w:ind w:left="720" w:hanging="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b/>
          <w:bCs/>
          <w:color w:val="212121"/>
          <w:sz w:val="28"/>
          <w:szCs w:val="28"/>
          <w:shd w:val="clear" w:color="auto" w:fill="FFFFFF"/>
        </w:rPr>
        <w:t>D.</w:t>
      </w:r>
      <w:r w:rsidRPr="008F798C">
        <w:rPr>
          <w:rFonts w:ascii="Century Schoolbook" w:eastAsia="Times New Roman" w:hAnsi="Century Schoolbook" w:cs="Times New Roman"/>
          <w:b/>
          <w:bCs/>
          <w:color w:val="212121"/>
          <w:sz w:val="28"/>
          <w:szCs w:val="28"/>
          <w:shd w:val="clear" w:color="auto" w:fill="FFFFFF"/>
        </w:rPr>
        <w:tab/>
      </w:r>
      <w:proofErr w:type="spellStart"/>
      <w:r w:rsidRPr="008F798C">
        <w:rPr>
          <w:rFonts w:ascii="Century Schoolbook" w:eastAsia="Times New Roman" w:hAnsi="Century Schoolbook" w:cs="Times New Roman"/>
          <w:b/>
          <w:bCs/>
          <w:i/>
          <w:iCs/>
          <w:color w:val="212121"/>
          <w:sz w:val="28"/>
          <w:szCs w:val="28"/>
          <w:shd w:val="clear" w:color="auto" w:fill="FFFFFF"/>
        </w:rPr>
        <w:t>Percoco</w:t>
      </w:r>
      <w:proofErr w:type="spellEnd"/>
      <w:r w:rsidRPr="008F798C">
        <w:rPr>
          <w:rFonts w:ascii="Century Schoolbook" w:eastAsia="Times New Roman" w:hAnsi="Century Schoolbook" w:cs="Times New Roman"/>
          <w:b/>
          <w:bCs/>
          <w:i/>
          <w:iCs/>
          <w:color w:val="212121"/>
          <w:sz w:val="28"/>
          <w:szCs w:val="28"/>
          <w:shd w:val="clear" w:color="auto" w:fill="FFFFFF"/>
        </w:rPr>
        <w:t xml:space="preserve"> </w:t>
      </w:r>
      <w:r w:rsidRPr="008F798C">
        <w:rPr>
          <w:rFonts w:ascii="Century Schoolbook" w:eastAsia="Times New Roman" w:hAnsi="Century Schoolbook" w:cs="Times New Roman"/>
          <w:b/>
          <w:bCs/>
          <w:color w:val="212121"/>
          <w:sz w:val="28"/>
          <w:szCs w:val="28"/>
          <w:shd w:val="clear" w:color="auto" w:fill="FFFFFF"/>
        </w:rPr>
        <w:t>requires reversal of the instructions’ definition of pyramid scheme.</w:t>
      </w:r>
    </w:p>
    <w:p w14:paraId="44660FC0" w14:textId="77777777" w:rsidR="008F798C" w:rsidRPr="008F798C" w:rsidRDefault="008F798C" w:rsidP="008F798C">
      <w:pPr>
        <w:spacing w:after="0" w:line="240" w:lineRule="auto"/>
        <w:rPr>
          <w:rFonts w:ascii="Times New Roman" w:eastAsia="Times New Roman" w:hAnsi="Times New Roman" w:cs="Times New Roman"/>
          <w:sz w:val="24"/>
          <w:szCs w:val="24"/>
        </w:rPr>
      </w:pPr>
    </w:p>
    <w:p w14:paraId="1A771BE2"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In </w:t>
      </w:r>
      <w:proofErr w:type="spellStart"/>
      <w:r w:rsidRPr="008F798C">
        <w:rPr>
          <w:rFonts w:ascii="Century Schoolbook" w:eastAsia="Times New Roman" w:hAnsi="Century Schoolbook" w:cs="Times New Roman"/>
          <w:i/>
          <w:iCs/>
          <w:color w:val="000000"/>
          <w:sz w:val="28"/>
          <w:szCs w:val="28"/>
        </w:rPr>
        <w:t>Percoco</w:t>
      </w:r>
      <w:proofErr w:type="spellEnd"/>
      <w:r w:rsidRPr="008F798C">
        <w:rPr>
          <w:rFonts w:ascii="Century Schoolbook" w:eastAsia="Times New Roman" w:hAnsi="Century Schoolbook" w:cs="Times New Roman"/>
          <w:i/>
          <w:iCs/>
          <w:color w:val="000000"/>
          <w:sz w:val="28"/>
          <w:szCs w:val="28"/>
        </w:rPr>
        <w:t xml:space="preserve"> v. United States</w:t>
      </w:r>
      <w:r w:rsidRPr="008F798C">
        <w:rPr>
          <w:rFonts w:ascii="Century Schoolbook" w:eastAsia="Times New Roman" w:hAnsi="Century Schoolbook" w:cs="Times New Roman"/>
          <w:color w:val="000000"/>
          <w:sz w:val="28"/>
          <w:szCs w:val="28"/>
        </w:rPr>
        <w:t xml:space="preserve">, 143 </w:t>
      </w:r>
      <w:proofErr w:type="spellStart"/>
      <w:r w:rsidRPr="008F798C">
        <w:rPr>
          <w:rFonts w:ascii="Century Schoolbook" w:eastAsia="Times New Roman" w:hAnsi="Century Schoolbook" w:cs="Times New Roman"/>
          <w:color w:val="000000"/>
          <w:sz w:val="28"/>
          <w:szCs w:val="28"/>
        </w:rPr>
        <w:t>S.Ct</w:t>
      </w:r>
      <w:proofErr w:type="spellEnd"/>
      <w:r w:rsidRPr="008F798C">
        <w:rPr>
          <w:rFonts w:ascii="Century Schoolbook" w:eastAsia="Times New Roman" w:hAnsi="Century Schoolbook" w:cs="Times New Roman"/>
          <w:color w:val="000000"/>
          <w:sz w:val="28"/>
          <w:szCs w:val="28"/>
        </w:rPr>
        <w:t xml:space="preserve">. 1130 (2023), the Supreme Court recently held that a jury instruction that defines the scope of a scheme to defraud is held to constitutional standards applicable to criminal statutes. At issue was an instruction attempting to define the wire and mail fraud statutes’ inclusion of a “scheme…to deprive another of the intangible right of honest services” within the term “scheme or artifice to defraud.”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1136. The Court held that the instruction’s definition “must be defined with the clarity typical of criminal statutes and should not be held to reach an </w:t>
      </w:r>
      <w:proofErr w:type="spellStart"/>
      <w:r w:rsidRPr="008F798C">
        <w:rPr>
          <w:rFonts w:ascii="Century Schoolbook" w:eastAsia="Times New Roman" w:hAnsi="Century Schoolbook" w:cs="Times New Roman"/>
          <w:color w:val="000000"/>
          <w:sz w:val="28"/>
          <w:szCs w:val="28"/>
        </w:rPr>
        <w:t>illdefined</w:t>
      </w:r>
      <w:proofErr w:type="spellEnd"/>
      <w:r w:rsidRPr="008F798C">
        <w:rPr>
          <w:rFonts w:ascii="Century Schoolbook" w:eastAsia="Times New Roman" w:hAnsi="Century Schoolbook" w:cs="Times New Roman"/>
          <w:color w:val="000000"/>
          <w:sz w:val="28"/>
          <w:szCs w:val="28"/>
        </w:rPr>
        <w:t xml:space="preserve"> category of circumstances simply because of a smattering of [previous court] decisions.”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1137. The concurrence confirmed that “the jury instructions…were too vague….And the Constitution’s promise of due process does not tolerate that kind of uncertainty in our laws—especially when criminal sanctions loom.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at 1139 (internal quotation marks omitted).</w:t>
      </w:r>
    </w:p>
    <w:p w14:paraId="66756C7D"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lastRenderedPageBreak/>
        <w:t xml:space="preserve">The Court held that precedent relied on in instructions must define the illegal act “with sufficient definiteness that ordinary people can understand what conduct is prohibited or in a manner that does not encourage arbitrary and discriminatory enforcement.”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1138 (internal quotation marks omitted).  The Court reversed because the judicial standard that was relied on in the instructions was too vague. The concurrence explained that vague laws “impermissibly hand off the legislature’s responsibility for defining criminal behavior to unelected prosecutors and judges, and they leave people with no sure way to know what consequences will attach to their conduct.”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at 1139 (internal quotation marks omitted). This happened in this case. </w:t>
      </w:r>
    </w:p>
    <w:p w14:paraId="41CFEAE0"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The constitutional standards that </w:t>
      </w:r>
      <w:proofErr w:type="spellStart"/>
      <w:r w:rsidRPr="008F798C">
        <w:rPr>
          <w:rFonts w:ascii="Century Schoolbook" w:eastAsia="Times New Roman" w:hAnsi="Century Schoolbook" w:cs="Times New Roman"/>
          <w:i/>
          <w:iCs/>
          <w:color w:val="000000"/>
          <w:sz w:val="28"/>
          <w:szCs w:val="28"/>
        </w:rPr>
        <w:t>Percoco</w:t>
      </w:r>
      <w:proofErr w:type="spellEnd"/>
      <w:r w:rsidRPr="008F798C">
        <w:rPr>
          <w:rFonts w:ascii="Century Schoolbook" w:eastAsia="Times New Roman" w:hAnsi="Century Schoolbook" w:cs="Times New Roman"/>
          <w:i/>
          <w:iCs/>
          <w:color w:val="000000"/>
          <w:sz w:val="28"/>
          <w:szCs w:val="28"/>
        </w:rPr>
        <w:t xml:space="preserve"> </w:t>
      </w:r>
      <w:r w:rsidRPr="008F798C">
        <w:rPr>
          <w:rFonts w:ascii="Century Schoolbook" w:eastAsia="Times New Roman" w:hAnsi="Century Schoolbook" w:cs="Times New Roman"/>
          <w:color w:val="000000"/>
          <w:sz w:val="28"/>
          <w:szCs w:val="28"/>
        </w:rPr>
        <w:t xml:space="preserve">applied to judicial definitions include the following. “[T]he vagueness doctrine bars enforcement of ‘a statute which either forbids or requires the doing of an act in terms so vague that men of common intelligence must necessarily guess at its meaning and differ as to its application.’” </w:t>
      </w:r>
      <w:r w:rsidRPr="008F798C">
        <w:rPr>
          <w:rFonts w:ascii="Century Schoolbook" w:eastAsia="Times New Roman" w:hAnsi="Century Schoolbook" w:cs="Times New Roman"/>
          <w:i/>
          <w:iCs/>
          <w:color w:val="000000"/>
          <w:sz w:val="28"/>
          <w:szCs w:val="28"/>
        </w:rPr>
        <w:t>U.S. v. Lanier</w:t>
      </w:r>
      <w:r w:rsidRPr="008F798C">
        <w:rPr>
          <w:rFonts w:ascii="Century Schoolbook" w:eastAsia="Times New Roman" w:hAnsi="Century Schoolbook" w:cs="Times New Roman"/>
          <w:color w:val="000000"/>
          <w:sz w:val="28"/>
          <w:szCs w:val="28"/>
        </w:rPr>
        <w:t xml:space="preserve">, 520 U.S. 259, 266 (1997) (quoting </w:t>
      </w:r>
      <w:r w:rsidRPr="008F798C">
        <w:rPr>
          <w:rFonts w:ascii="Century Schoolbook" w:eastAsia="Times New Roman" w:hAnsi="Century Schoolbook" w:cs="Times New Roman"/>
          <w:i/>
          <w:iCs/>
          <w:color w:val="000000"/>
          <w:sz w:val="28"/>
          <w:szCs w:val="28"/>
        </w:rPr>
        <w:t>Connally v. General Constr. Co.</w:t>
      </w:r>
      <w:r w:rsidRPr="008F798C">
        <w:rPr>
          <w:rFonts w:ascii="Century Schoolbook" w:eastAsia="Times New Roman" w:hAnsi="Century Schoolbook" w:cs="Times New Roman"/>
          <w:color w:val="000000"/>
          <w:sz w:val="28"/>
          <w:szCs w:val="28"/>
        </w:rPr>
        <w:t xml:space="preserve">, 269 U.S. 385, 391 (1926)). “[T]he canon of strict construction of criminal statutes, or rule of lenity, ensures fair warning by so resolving ambiguity in a </w:t>
      </w:r>
      <w:r w:rsidRPr="008F798C">
        <w:rPr>
          <w:rFonts w:ascii="Century Schoolbook" w:eastAsia="Times New Roman" w:hAnsi="Century Schoolbook" w:cs="Times New Roman"/>
          <w:color w:val="000000"/>
          <w:sz w:val="28"/>
          <w:szCs w:val="28"/>
        </w:rPr>
        <w:lastRenderedPageBreak/>
        <w:t xml:space="preserve">criminal statute as to apply it only to conduct clearly covered.”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“[D]</w:t>
      </w:r>
      <w:proofErr w:type="spellStart"/>
      <w:r w:rsidRPr="008F798C">
        <w:rPr>
          <w:rFonts w:ascii="Century Schoolbook" w:eastAsia="Times New Roman" w:hAnsi="Century Schoolbook" w:cs="Times New Roman"/>
          <w:color w:val="000000"/>
          <w:sz w:val="28"/>
          <w:szCs w:val="28"/>
        </w:rPr>
        <w:t>ue</w:t>
      </w:r>
      <w:proofErr w:type="spellEnd"/>
      <w:r w:rsidRPr="008F798C">
        <w:rPr>
          <w:rFonts w:ascii="Century Schoolbook" w:eastAsia="Times New Roman" w:hAnsi="Century Schoolbook" w:cs="Times New Roman"/>
          <w:color w:val="000000"/>
          <w:sz w:val="28"/>
          <w:szCs w:val="28"/>
        </w:rPr>
        <w:t xml:space="preserve"> process bars courts from applying a novel construction of a criminal statute to conduct that neither the statute nor any prior judicial decision has fairly disclosed to be within its scope.”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These doctrines ensure that it must be made “reasonably clear at the relevant time that the defendant’s conduct was criminal.”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There may be times even when a non-vague statute cannot be applied to marginal cases because it is difficult to determine on which side the particular fact situation falls. </w:t>
      </w:r>
      <w:r w:rsidRPr="008F798C">
        <w:rPr>
          <w:rFonts w:ascii="Century Schoolbook" w:eastAsia="Times New Roman" w:hAnsi="Century Schoolbook" w:cs="Times New Roman"/>
          <w:i/>
          <w:iCs/>
          <w:color w:val="000000"/>
          <w:sz w:val="28"/>
          <w:szCs w:val="28"/>
        </w:rPr>
        <w:t>U.S. v. Frost</w:t>
      </w:r>
      <w:r w:rsidRPr="008F798C">
        <w:rPr>
          <w:rFonts w:ascii="Century Schoolbook" w:eastAsia="Times New Roman" w:hAnsi="Century Schoolbook" w:cs="Times New Roman"/>
          <w:color w:val="000000"/>
          <w:sz w:val="28"/>
          <w:szCs w:val="28"/>
        </w:rPr>
        <w:t>, 125 F.3d 346, 370 (6th Cir. 1997).</w:t>
      </w:r>
    </w:p>
    <w:p w14:paraId="607269B1"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If no clear line delineates between legal and illegal conduct, a defendant cannot be charged with a crime based on such conduct. </w:t>
      </w:r>
      <w:r w:rsidRPr="008F798C">
        <w:rPr>
          <w:rFonts w:ascii="Century Schoolbook" w:eastAsia="Times New Roman" w:hAnsi="Century Schoolbook" w:cs="Times New Roman"/>
          <w:i/>
          <w:iCs/>
          <w:color w:val="000000"/>
          <w:sz w:val="28"/>
          <w:szCs w:val="28"/>
        </w:rPr>
        <w:t>Smith v. Goguen</w:t>
      </w:r>
      <w:r w:rsidRPr="008F798C">
        <w:rPr>
          <w:rFonts w:ascii="Century Schoolbook" w:eastAsia="Times New Roman" w:hAnsi="Century Schoolbook" w:cs="Times New Roman"/>
          <w:color w:val="000000"/>
          <w:sz w:val="28"/>
          <w:szCs w:val="28"/>
        </w:rPr>
        <w:t xml:space="preserve">, 415 U.S. 566, 574 (1974). “‘It would certainly be dangerous if the legislature could set a net large enough to catch all possible offenders, and leave it to the courts to step inside and say who could be rightfully detained, and who should be set at large.’” </w:t>
      </w:r>
      <w:proofErr w:type="spellStart"/>
      <w:r w:rsidRPr="008F798C">
        <w:rPr>
          <w:rFonts w:ascii="Century Schoolbook" w:eastAsia="Times New Roman" w:hAnsi="Century Schoolbook" w:cs="Times New Roman"/>
          <w:i/>
          <w:iCs/>
          <w:color w:val="000000"/>
          <w:sz w:val="28"/>
          <w:szCs w:val="28"/>
        </w:rPr>
        <w:t>Kolender</w:t>
      </w:r>
      <w:proofErr w:type="spellEnd"/>
      <w:r w:rsidRPr="008F798C">
        <w:rPr>
          <w:rFonts w:ascii="Century Schoolbook" w:eastAsia="Times New Roman" w:hAnsi="Century Schoolbook" w:cs="Times New Roman"/>
          <w:i/>
          <w:iCs/>
          <w:color w:val="000000"/>
          <w:sz w:val="28"/>
          <w:szCs w:val="28"/>
        </w:rPr>
        <w:t xml:space="preserve"> v. Lawson</w:t>
      </w:r>
      <w:r w:rsidRPr="008F798C">
        <w:rPr>
          <w:rFonts w:ascii="Century Schoolbook" w:eastAsia="Times New Roman" w:hAnsi="Century Schoolbook" w:cs="Times New Roman"/>
          <w:color w:val="000000"/>
          <w:sz w:val="28"/>
          <w:szCs w:val="28"/>
        </w:rPr>
        <w:t xml:space="preserve">, 461 U.S. 352, 358 n.7 (1983)(quoting </w:t>
      </w:r>
      <w:r w:rsidRPr="008F798C">
        <w:rPr>
          <w:rFonts w:ascii="Century Schoolbook" w:eastAsia="Times New Roman" w:hAnsi="Century Schoolbook" w:cs="Times New Roman"/>
          <w:i/>
          <w:iCs/>
          <w:color w:val="000000"/>
          <w:sz w:val="28"/>
          <w:szCs w:val="28"/>
        </w:rPr>
        <w:t>U.S. v. Reese</w:t>
      </w:r>
      <w:r w:rsidRPr="008F798C">
        <w:rPr>
          <w:rFonts w:ascii="Century Schoolbook" w:eastAsia="Times New Roman" w:hAnsi="Century Schoolbook" w:cs="Times New Roman"/>
          <w:color w:val="000000"/>
          <w:sz w:val="28"/>
          <w:szCs w:val="28"/>
        </w:rPr>
        <w:t>, 92 U.S. 214, 221 (1876)). The courts may not step in for the legislature and fashion a test to decide what MLMs are legal and illegal.</w:t>
      </w:r>
    </w:p>
    <w:p w14:paraId="204D8EBC"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i/>
          <w:iCs/>
          <w:color w:val="000000"/>
          <w:sz w:val="28"/>
          <w:szCs w:val="28"/>
        </w:rPr>
        <w:lastRenderedPageBreak/>
        <w:t>Gold</w:t>
      </w:r>
      <w:r w:rsidRPr="008F798C">
        <w:rPr>
          <w:rFonts w:ascii="Century Schoolbook" w:eastAsia="Times New Roman" w:hAnsi="Century Schoolbook" w:cs="Times New Roman"/>
          <w:color w:val="000000"/>
          <w:sz w:val="28"/>
          <w:szCs w:val="28"/>
        </w:rPr>
        <w:t xml:space="preserve"> suggested that courts in “subsequent cases” fashion the definition of pyramid scheme through the use of state statutes (some of which conflict). This was a recognition that the definition in </w:t>
      </w: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 xml:space="preserve">may be overly restrictive and should be revised in the future. Applying this directive violates </w:t>
      </w:r>
      <w:proofErr w:type="spellStart"/>
      <w:r w:rsidRPr="008F798C">
        <w:rPr>
          <w:rFonts w:ascii="Century Schoolbook" w:eastAsia="Times New Roman" w:hAnsi="Century Schoolbook" w:cs="Times New Roman"/>
          <w:i/>
          <w:iCs/>
          <w:color w:val="000000"/>
          <w:sz w:val="28"/>
          <w:szCs w:val="28"/>
        </w:rPr>
        <w:t>Percoco</w:t>
      </w:r>
      <w:proofErr w:type="spellEnd"/>
      <w:r w:rsidRPr="008F798C">
        <w:rPr>
          <w:rFonts w:ascii="Century Schoolbook" w:eastAsia="Times New Roman" w:hAnsi="Century Schoolbook" w:cs="Times New Roman"/>
          <w:color w:val="000000"/>
          <w:sz w:val="28"/>
          <w:szCs w:val="28"/>
        </w:rPr>
        <w:t xml:space="preserve"> because courts applying </w:t>
      </w: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are left to fashion an instruction without a “reasonably clear” standard.</w:t>
      </w:r>
    </w:p>
    <w:p w14:paraId="5A697732"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The direction that future courts craft previously undefined standards violated </w:t>
      </w:r>
      <w:proofErr w:type="spellStart"/>
      <w:r w:rsidRPr="008F798C">
        <w:rPr>
          <w:rFonts w:ascii="Century Schoolbook" w:eastAsia="Times New Roman" w:hAnsi="Century Schoolbook" w:cs="Times New Roman"/>
          <w:i/>
          <w:iCs/>
          <w:color w:val="000000"/>
          <w:sz w:val="28"/>
          <w:szCs w:val="28"/>
        </w:rPr>
        <w:t>Percoco</w:t>
      </w:r>
      <w:proofErr w:type="spellEnd"/>
      <w:r w:rsidRPr="008F798C">
        <w:rPr>
          <w:rFonts w:ascii="Century Schoolbook" w:eastAsia="Times New Roman" w:hAnsi="Century Schoolbook" w:cs="Times New Roman"/>
          <w:color w:val="000000"/>
          <w:sz w:val="28"/>
          <w:szCs w:val="28"/>
        </w:rPr>
        <w:t xml:space="preserve">. Here, the court demonstrated the constitutional problems inherent in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’s direction when it expanded the definition of pyramid scheme from Gold by incorporating a sentence based on language in </w:t>
      </w:r>
      <w:r w:rsidRPr="008F798C">
        <w:rPr>
          <w:rFonts w:ascii="Century Schoolbook" w:eastAsia="Times New Roman" w:hAnsi="Century Schoolbook" w:cs="Times New Roman"/>
          <w:i/>
          <w:iCs/>
          <w:color w:val="000000"/>
          <w:sz w:val="28"/>
          <w:szCs w:val="28"/>
        </w:rPr>
        <w:t xml:space="preserve">FTC v. </w:t>
      </w:r>
      <w:proofErr w:type="spellStart"/>
      <w:r w:rsidRPr="008F798C">
        <w:rPr>
          <w:rFonts w:ascii="Century Schoolbook" w:eastAsia="Times New Roman" w:hAnsi="Century Schoolbook" w:cs="Times New Roman"/>
          <w:i/>
          <w:iCs/>
          <w:color w:val="000000"/>
          <w:sz w:val="28"/>
          <w:szCs w:val="28"/>
        </w:rPr>
        <w:t>BurnLounge</w:t>
      </w:r>
      <w:proofErr w:type="spellEnd"/>
      <w:r w:rsidRPr="008F798C">
        <w:rPr>
          <w:rFonts w:ascii="Century Schoolbook" w:eastAsia="Times New Roman" w:hAnsi="Century Schoolbook" w:cs="Times New Roman"/>
          <w:i/>
          <w:iCs/>
          <w:color w:val="000000"/>
          <w:sz w:val="28"/>
          <w:szCs w:val="28"/>
        </w:rPr>
        <w:t>, Inc.</w:t>
      </w:r>
      <w:r w:rsidRPr="008F798C">
        <w:rPr>
          <w:rFonts w:ascii="Century Schoolbook" w:eastAsia="Times New Roman" w:hAnsi="Century Schoolbook" w:cs="Times New Roman"/>
          <w:color w:val="000000"/>
          <w:sz w:val="28"/>
          <w:szCs w:val="28"/>
        </w:rPr>
        <w:t>, 753 F.3d 878, 880 (9th Cir. 2014), into the instruction. (R.692, #9943, 9947).</w:t>
      </w:r>
    </w:p>
    <w:p w14:paraId="1B0E9C26" w14:textId="77777777" w:rsidR="008F798C" w:rsidRPr="008F798C" w:rsidRDefault="008F798C" w:rsidP="008F798C">
      <w:pPr>
        <w:spacing w:after="0" w:line="240" w:lineRule="auto"/>
        <w:ind w:left="720" w:hanging="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b/>
          <w:bCs/>
          <w:color w:val="212121"/>
          <w:sz w:val="28"/>
          <w:szCs w:val="28"/>
          <w:shd w:val="clear" w:color="auto" w:fill="FFFFFF"/>
        </w:rPr>
        <w:t>E.</w:t>
      </w:r>
      <w:r w:rsidRPr="008F798C">
        <w:rPr>
          <w:rFonts w:ascii="Century Schoolbook" w:eastAsia="Times New Roman" w:hAnsi="Century Schoolbook" w:cs="Times New Roman"/>
          <w:b/>
          <w:bCs/>
          <w:color w:val="212121"/>
          <w:sz w:val="28"/>
          <w:szCs w:val="28"/>
          <w:shd w:val="clear" w:color="auto" w:fill="FFFFFF"/>
        </w:rPr>
        <w:tab/>
        <w:t>The definition of pyramid scheme in the instructions was incorrect.</w:t>
      </w:r>
    </w:p>
    <w:p w14:paraId="1A890F43" w14:textId="77777777" w:rsidR="008F798C" w:rsidRPr="008F798C" w:rsidRDefault="008F798C" w:rsidP="008F798C">
      <w:pPr>
        <w:spacing w:after="0" w:line="240" w:lineRule="auto"/>
        <w:rPr>
          <w:rFonts w:ascii="Times New Roman" w:eastAsia="Times New Roman" w:hAnsi="Times New Roman" w:cs="Times New Roman"/>
          <w:sz w:val="24"/>
          <w:szCs w:val="24"/>
        </w:rPr>
      </w:pPr>
    </w:p>
    <w:p w14:paraId="171B2C53"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212121"/>
          <w:sz w:val="28"/>
          <w:szCs w:val="28"/>
          <w:shd w:val="clear" w:color="auto" w:fill="FFFFFF"/>
        </w:rPr>
        <w:t xml:space="preserve">Defendants tendered an instruction that followed the directive in </w:t>
      </w:r>
      <w:r w:rsidRPr="008F798C">
        <w:rPr>
          <w:rFonts w:ascii="Century Schoolbook" w:eastAsia="Times New Roman" w:hAnsi="Century Schoolbook" w:cs="Times New Roman"/>
          <w:i/>
          <w:iCs/>
          <w:color w:val="212121"/>
          <w:sz w:val="28"/>
          <w:szCs w:val="28"/>
          <w:shd w:val="clear" w:color="auto" w:fill="FFFFFF"/>
        </w:rPr>
        <w:t xml:space="preserve">Gold </w:t>
      </w:r>
      <w:r w:rsidRPr="008F798C">
        <w:rPr>
          <w:rFonts w:ascii="Century Schoolbook" w:eastAsia="Times New Roman" w:hAnsi="Century Schoolbook" w:cs="Times New Roman"/>
          <w:color w:val="212121"/>
          <w:sz w:val="28"/>
          <w:szCs w:val="28"/>
          <w:shd w:val="clear" w:color="auto" w:fill="FFFFFF"/>
        </w:rPr>
        <w:t>that future courts revise the definition of pyramid scheme “to reflect the difference between legitimate multi-level marketing and illegal pyramids” by using state statutes.</w:t>
      </w:r>
      <w:r w:rsidRPr="008F798C">
        <w:rPr>
          <w:rFonts w:ascii="Century Schoolbook" w:eastAsia="Times New Roman" w:hAnsi="Century Schoolbook" w:cs="Times New Roman"/>
          <w:color w:val="000000"/>
          <w:sz w:val="28"/>
          <w:szCs w:val="28"/>
        </w:rPr>
        <w:t xml:space="preserve"> (R.533 at #5090; </w:t>
      </w:r>
      <w:r w:rsidRPr="008F798C">
        <w:rPr>
          <w:rFonts w:ascii="Century Schoolbook" w:eastAsia="Times New Roman" w:hAnsi="Century Schoolbook" w:cs="Times New Roman"/>
          <w:i/>
          <w:iCs/>
          <w:color w:val="000000"/>
          <w:sz w:val="28"/>
          <w:szCs w:val="28"/>
        </w:rPr>
        <w:t>see also</w:t>
      </w:r>
      <w:r w:rsidRPr="008F798C">
        <w:rPr>
          <w:rFonts w:ascii="Century Schoolbook" w:eastAsia="Times New Roman" w:hAnsi="Century Schoolbook" w:cs="Times New Roman"/>
          <w:color w:val="212121"/>
          <w:sz w:val="28"/>
          <w:szCs w:val="28"/>
          <w:shd w:val="clear" w:color="auto" w:fill="FFFFFF"/>
        </w:rPr>
        <w:t xml:space="preserve">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at 483). Defendants objected to any expansion of the definition from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000000"/>
          <w:sz w:val="28"/>
          <w:szCs w:val="28"/>
        </w:rPr>
        <w:t xml:space="preserve"> (R.702 #11132).</w:t>
      </w:r>
      <w:r w:rsidRPr="008F798C">
        <w:rPr>
          <w:rFonts w:ascii="Century Schoolbook" w:eastAsia="Times New Roman" w:hAnsi="Century Schoolbook" w:cs="Times New Roman"/>
          <w:color w:val="212121"/>
          <w:sz w:val="28"/>
          <w:szCs w:val="28"/>
          <w:shd w:val="clear" w:color="auto" w:fill="FFFFFF"/>
        </w:rPr>
        <w:t xml:space="preserve"> The court stated that </w:t>
      </w:r>
      <w:r w:rsidRPr="008F798C">
        <w:rPr>
          <w:rFonts w:ascii="Century Schoolbook" w:eastAsia="Times New Roman" w:hAnsi="Century Schoolbook" w:cs="Times New Roman"/>
          <w:i/>
          <w:iCs/>
          <w:color w:val="212121"/>
          <w:sz w:val="28"/>
          <w:szCs w:val="28"/>
          <w:shd w:val="clear" w:color="auto" w:fill="FFFFFF"/>
        </w:rPr>
        <w:t xml:space="preserve">Gold </w:t>
      </w:r>
      <w:r w:rsidRPr="008F798C">
        <w:rPr>
          <w:rFonts w:ascii="Century Schoolbook" w:eastAsia="Times New Roman" w:hAnsi="Century Schoolbook" w:cs="Times New Roman"/>
          <w:color w:val="212121"/>
          <w:sz w:val="28"/>
          <w:szCs w:val="28"/>
          <w:shd w:val="clear" w:color="auto" w:fill="FFFFFF"/>
        </w:rPr>
        <w:t xml:space="preserve">indicated there was room for </w:t>
      </w:r>
      <w:r w:rsidRPr="008F798C">
        <w:rPr>
          <w:rFonts w:ascii="Century Schoolbook" w:eastAsia="Times New Roman" w:hAnsi="Century Schoolbook" w:cs="Times New Roman"/>
          <w:color w:val="212121"/>
          <w:sz w:val="28"/>
          <w:szCs w:val="28"/>
          <w:shd w:val="clear" w:color="auto" w:fill="FFFFFF"/>
        </w:rPr>
        <w:lastRenderedPageBreak/>
        <w:t>improvement in the instruction and added the following sentence: “The structure of a pyramid scheme suggests that the focus is on promoting the sale of interests in the venture rather than the sale of products, where participants earn the right to profits by recruiting other participants, who themselves are interested in recruitment rather than products.”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at #11132). </w:t>
      </w:r>
      <w:r w:rsidRPr="008F798C">
        <w:rPr>
          <w:rFonts w:ascii="Century Schoolbook" w:eastAsia="Times New Roman" w:hAnsi="Century Schoolbook" w:cs="Times New Roman"/>
          <w:color w:val="212121"/>
          <w:sz w:val="28"/>
          <w:szCs w:val="28"/>
          <w:shd w:val="clear" w:color="auto" w:fill="FFFFFF"/>
        </w:rPr>
        <w:t xml:space="preserve">This gave no guidance to the jury and expanded the definition in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Plans that were not pyramid schemes under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became pyramid schemes under this sentence. </w:t>
      </w:r>
    </w:p>
    <w:p w14:paraId="08801B5C"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212121"/>
          <w:sz w:val="28"/>
          <w:szCs w:val="28"/>
          <w:shd w:val="clear" w:color="auto" w:fill="FFFFFF"/>
        </w:rPr>
        <w:t xml:space="preserve">Instructing the jury that the structure of a pyramid “suggests” something improperly told the jury what to conclude from certain evidence. </w:t>
      </w:r>
      <w:r w:rsidRPr="008F798C">
        <w:rPr>
          <w:rFonts w:ascii="Century Schoolbook" w:eastAsia="Times New Roman" w:hAnsi="Century Schoolbook" w:cs="Times New Roman"/>
          <w:i/>
          <w:iCs/>
          <w:color w:val="212121"/>
          <w:sz w:val="28"/>
          <w:szCs w:val="28"/>
          <w:shd w:val="clear" w:color="auto" w:fill="FFFFFF"/>
        </w:rPr>
        <w:t xml:space="preserve">See, </w:t>
      </w:r>
      <w:proofErr w:type="gramStart"/>
      <w:r w:rsidRPr="008F798C">
        <w:rPr>
          <w:rFonts w:ascii="Century Schoolbook" w:eastAsia="Times New Roman" w:hAnsi="Century Schoolbook" w:cs="Times New Roman"/>
          <w:i/>
          <w:iCs/>
          <w:color w:val="212121"/>
          <w:sz w:val="28"/>
          <w:szCs w:val="28"/>
          <w:shd w:val="clear" w:color="auto" w:fill="FFFFFF"/>
        </w:rPr>
        <w:t>e.g.</w:t>
      </w:r>
      <w:proofErr w:type="gramEnd"/>
      <w:r w:rsidRPr="008F798C">
        <w:rPr>
          <w:rFonts w:ascii="Century Schoolbook" w:eastAsia="Times New Roman" w:hAnsi="Century Schoolbook" w:cs="Times New Roman"/>
          <w:i/>
          <w:iCs/>
          <w:color w:val="212121"/>
          <w:sz w:val="28"/>
          <w:szCs w:val="28"/>
          <w:shd w:val="clear" w:color="auto" w:fill="FFFFFF"/>
        </w:rPr>
        <w:t xml:space="preserve"> </w:t>
      </w:r>
      <w:proofErr w:type="spellStart"/>
      <w:r w:rsidRPr="008F798C">
        <w:rPr>
          <w:rFonts w:ascii="Century Schoolbook" w:eastAsia="Times New Roman" w:hAnsi="Century Schoolbook" w:cs="Times New Roman"/>
          <w:i/>
          <w:iCs/>
          <w:color w:val="212121"/>
          <w:sz w:val="28"/>
          <w:szCs w:val="28"/>
          <w:shd w:val="clear" w:color="auto" w:fill="FFFFFF"/>
        </w:rPr>
        <w:t>Morissette</w:t>
      </w:r>
      <w:proofErr w:type="spellEnd"/>
      <w:r w:rsidRPr="008F798C">
        <w:rPr>
          <w:rFonts w:ascii="Century Schoolbook" w:eastAsia="Times New Roman" w:hAnsi="Century Schoolbook" w:cs="Times New Roman"/>
          <w:i/>
          <w:iCs/>
          <w:color w:val="212121"/>
          <w:sz w:val="28"/>
          <w:szCs w:val="28"/>
          <w:shd w:val="clear" w:color="auto" w:fill="FFFFFF"/>
        </w:rPr>
        <w:t xml:space="preserve"> v U.S.</w:t>
      </w:r>
      <w:r w:rsidRPr="008F798C">
        <w:rPr>
          <w:rFonts w:ascii="Century Schoolbook" w:eastAsia="Times New Roman" w:hAnsi="Century Schoolbook" w:cs="Times New Roman"/>
          <w:color w:val="212121"/>
          <w:sz w:val="28"/>
          <w:szCs w:val="28"/>
          <w:shd w:val="clear" w:color="auto" w:fill="FFFFFF"/>
        </w:rPr>
        <w:t>, 342 U.S. 246, 275 (1952) (“Such incriminating presumptions are not to be improvised by the judiciary.”).</w:t>
      </w:r>
    </w:p>
    <w:p w14:paraId="35A65C88"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212121"/>
          <w:sz w:val="28"/>
          <w:szCs w:val="28"/>
          <w:shd w:val="clear" w:color="auto" w:fill="FFFFFF"/>
        </w:rPr>
        <w:t xml:space="preserve">Also, the command that a structure suggests something about a company’s focus was incorrect. All MLMs and many non-MLMs have pyramidal structures, which is irrelevant in evaluating whether they cross the “[un]clear line </w:t>
      </w:r>
      <w:proofErr w:type="spellStart"/>
      <w:r w:rsidRPr="008F798C">
        <w:rPr>
          <w:rFonts w:ascii="Century Schoolbook" w:eastAsia="Times New Roman" w:hAnsi="Century Schoolbook" w:cs="Times New Roman"/>
          <w:color w:val="212121"/>
          <w:sz w:val="28"/>
          <w:szCs w:val="28"/>
          <w:shd w:val="clear" w:color="auto" w:fill="FFFFFF"/>
        </w:rPr>
        <w:t>separat</w:t>
      </w:r>
      <w:proofErr w:type="spellEnd"/>
      <w:r w:rsidRPr="008F798C">
        <w:rPr>
          <w:rFonts w:ascii="Century Schoolbook" w:eastAsia="Times New Roman" w:hAnsi="Century Schoolbook" w:cs="Times New Roman"/>
          <w:color w:val="212121"/>
          <w:sz w:val="28"/>
          <w:szCs w:val="28"/>
          <w:shd w:val="clear" w:color="auto" w:fill="FFFFFF"/>
        </w:rPr>
        <w:t>[</w:t>
      </w:r>
      <w:proofErr w:type="spellStart"/>
      <w:r w:rsidRPr="008F798C">
        <w:rPr>
          <w:rFonts w:ascii="Century Schoolbook" w:eastAsia="Times New Roman" w:hAnsi="Century Schoolbook" w:cs="Times New Roman"/>
          <w:color w:val="212121"/>
          <w:sz w:val="28"/>
          <w:szCs w:val="28"/>
          <w:shd w:val="clear" w:color="auto" w:fill="FFFFFF"/>
        </w:rPr>
        <w:t>ing</w:t>
      </w:r>
      <w:proofErr w:type="spellEnd"/>
      <w:r w:rsidRPr="008F798C">
        <w:rPr>
          <w:rFonts w:ascii="Century Schoolbook" w:eastAsia="Times New Roman" w:hAnsi="Century Schoolbook" w:cs="Times New Roman"/>
          <w:color w:val="212121"/>
          <w:sz w:val="28"/>
          <w:szCs w:val="28"/>
          <w:shd w:val="clear" w:color="auto" w:fill="FFFFFF"/>
        </w:rPr>
        <w:t xml:space="preserve">] illegal pyramid schemes from legitimate multilevel marketing programs….”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at 475. What is relevant is whether the plan “presents a danger of market saturation—that is, only if at some point, persons on the lowest tier of the structure </w:t>
      </w:r>
      <w:r w:rsidRPr="008F798C">
        <w:rPr>
          <w:rFonts w:ascii="Century Schoolbook" w:eastAsia="Times New Roman" w:hAnsi="Century Schoolbook" w:cs="Times New Roman"/>
          <w:color w:val="212121"/>
          <w:sz w:val="28"/>
          <w:szCs w:val="28"/>
          <w:shd w:val="clear" w:color="auto" w:fill="FFFFFF"/>
        </w:rPr>
        <w:lastRenderedPageBreak/>
        <w:t xml:space="preserve">will not be able to find new recruits.” </w:t>
      </w:r>
      <w:r w:rsidRPr="008F798C">
        <w:rPr>
          <w:rFonts w:ascii="Century Schoolbook" w:eastAsia="Times New Roman" w:hAnsi="Century Schoolbook" w:cs="Times New Roman"/>
          <w:i/>
          <w:iCs/>
          <w:color w:val="212121"/>
          <w:sz w:val="28"/>
          <w:szCs w:val="28"/>
          <w:shd w:val="clear" w:color="auto" w:fill="FFFFFF"/>
        </w:rPr>
        <w:t xml:space="preserve">Id. </w:t>
      </w:r>
      <w:r w:rsidRPr="008F798C">
        <w:rPr>
          <w:rFonts w:ascii="Century Schoolbook" w:eastAsia="Times New Roman" w:hAnsi="Century Schoolbook" w:cs="Times New Roman"/>
          <w:color w:val="212121"/>
          <w:sz w:val="28"/>
          <w:szCs w:val="28"/>
          <w:shd w:val="clear" w:color="auto" w:fill="FFFFFF"/>
        </w:rPr>
        <w:t xml:space="preserve">at 481. There is nothing inherently fraudulent in a “focus…on promoting the sale of interests in the venture rather than the sale of products.” While it is unclear what “interests in the venture” means, promotion of “interests in a venture” can increase sales to users. Those who have “interests in the venture” can also be ultimate users. A structure that focuses on recruiting successful salespeople is not doomed to fail. The added sentence describes virtually every legal MLM as well as many non-MLM companies. The new sentence violated </w:t>
      </w:r>
      <w:r w:rsidRPr="008F798C">
        <w:rPr>
          <w:rFonts w:ascii="Century Schoolbook" w:eastAsia="Times New Roman" w:hAnsi="Century Schoolbook" w:cs="Times New Roman"/>
          <w:i/>
          <w:iCs/>
          <w:color w:val="212121"/>
          <w:sz w:val="28"/>
          <w:szCs w:val="28"/>
          <w:shd w:val="clear" w:color="auto" w:fill="FFFFFF"/>
        </w:rPr>
        <w:t>Gold</w:t>
      </w:r>
      <w:r w:rsidRPr="008F798C">
        <w:rPr>
          <w:rFonts w:ascii="Century Schoolbook" w:eastAsia="Times New Roman" w:hAnsi="Century Schoolbook" w:cs="Times New Roman"/>
          <w:color w:val="212121"/>
          <w:sz w:val="28"/>
          <w:szCs w:val="28"/>
          <w:shd w:val="clear" w:color="auto" w:fill="FFFFFF"/>
        </w:rPr>
        <w:t xml:space="preserve"> and is an incorrect statement of law. </w:t>
      </w:r>
    </w:p>
    <w:p w14:paraId="4A38AB84" w14:textId="77777777" w:rsidR="008F798C" w:rsidRPr="008F798C" w:rsidRDefault="008F798C" w:rsidP="008F798C">
      <w:pPr>
        <w:spacing w:after="0" w:line="240" w:lineRule="auto"/>
        <w:ind w:left="720" w:hanging="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b/>
          <w:bCs/>
          <w:color w:val="000000"/>
          <w:sz w:val="28"/>
          <w:szCs w:val="28"/>
        </w:rPr>
        <w:t>F.</w:t>
      </w:r>
      <w:r w:rsidRPr="008F798C">
        <w:rPr>
          <w:rFonts w:ascii="Century Schoolbook" w:eastAsia="Times New Roman" w:hAnsi="Century Schoolbook" w:cs="Times New Roman"/>
          <w:b/>
          <w:bCs/>
          <w:color w:val="000000"/>
          <w:sz w:val="28"/>
          <w:szCs w:val="28"/>
        </w:rPr>
        <w:tab/>
        <w:t>Failure to instruct on the anti-saturation affirmative defense was reversible.</w:t>
      </w:r>
    </w:p>
    <w:p w14:paraId="7B18C62F" w14:textId="77777777" w:rsidR="008F798C" w:rsidRPr="008F798C" w:rsidRDefault="008F798C" w:rsidP="008F798C">
      <w:pPr>
        <w:spacing w:after="0" w:line="240" w:lineRule="auto"/>
        <w:rPr>
          <w:rFonts w:ascii="Times New Roman" w:eastAsia="Times New Roman" w:hAnsi="Times New Roman" w:cs="Times New Roman"/>
          <w:sz w:val="24"/>
          <w:szCs w:val="24"/>
        </w:rPr>
      </w:pPr>
    </w:p>
    <w:p w14:paraId="0077F41C"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Defendants requested an anti-saturation affirmative defense instruction. (R.692, #9993). “In such circumstances, ‘[r]</w:t>
      </w:r>
      <w:proofErr w:type="spellStart"/>
      <w:r w:rsidRPr="008F798C">
        <w:rPr>
          <w:rFonts w:ascii="Century Schoolbook" w:eastAsia="Times New Roman" w:hAnsi="Century Schoolbook" w:cs="Times New Roman"/>
          <w:color w:val="000000"/>
          <w:sz w:val="28"/>
          <w:szCs w:val="28"/>
        </w:rPr>
        <w:t>efusal</w:t>
      </w:r>
      <w:proofErr w:type="spellEnd"/>
      <w:r w:rsidRPr="008F798C">
        <w:rPr>
          <w:rFonts w:ascii="Century Schoolbook" w:eastAsia="Times New Roman" w:hAnsi="Century Schoolbook" w:cs="Times New Roman"/>
          <w:color w:val="000000"/>
          <w:sz w:val="28"/>
          <w:szCs w:val="28"/>
        </w:rPr>
        <w:t xml:space="preserve"> to give an accurate jury instruction is reversible if it impairs the defendant's theory of the case and is not covered adequately by the instructions given.’” </w:t>
      </w:r>
      <w:r w:rsidRPr="008F798C">
        <w:rPr>
          <w:rFonts w:ascii="Century Schoolbook" w:eastAsia="Times New Roman" w:hAnsi="Century Schoolbook" w:cs="Times New Roman"/>
          <w:i/>
          <w:iCs/>
          <w:color w:val="000000"/>
          <w:sz w:val="28"/>
          <w:szCs w:val="28"/>
        </w:rPr>
        <w:t>U.S. v. Clark</w:t>
      </w:r>
      <w:r w:rsidRPr="008F798C">
        <w:rPr>
          <w:rFonts w:ascii="Century Schoolbook" w:eastAsia="Times New Roman" w:hAnsi="Century Schoolbook" w:cs="Times New Roman"/>
          <w:color w:val="000000"/>
          <w:sz w:val="28"/>
          <w:szCs w:val="28"/>
        </w:rPr>
        <w:t xml:space="preserve">, 485 F. </w:t>
      </w:r>
      <w:proofErr w:type="spellStart"/>
      <w:r w:rsidRPr="008F798C">
        <w:rPr>
          <w:rFonts w:ascii="Century Schoolbook" w:eastAsia="Times New Roman" w:hAnsi="Century Schoolbook" w:cs="Times New Roman"/>
          <w:color w:val="000000"/>
          <w:sz w:val="28"/>
          <w:szCs w:val="28"/>
        </w:rPr>
        <w:t>App’x</w:t>
      </w:r>
      <w:proofErr w:type="spellEnd"/>
      <w:r w:rsidRPr="008F798C">
        <w:rPr>
          <w:rFonts w:ascii="Century Schoolbook" w:eastAsia="Times New Roman" w:hAnsi="Century Schoolbook" w:cs="Times New Roman"/>
          <w:color w:val="000000"/>
          <w:sz w:val="28"/>
          <w:szCs w:val="28"/>
        </w:rPr>
        <w:t xml:space="preserve"> 816, 818 (6th Cir. 2012). “‘This burden is not a heavy one, and is met even when the supporting evidence is weak or of doubtful credibility.’”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(quoting </w:t>
      </w:r>
      <w:r w:rsidRPr="008F798C">
        <w:rPr>
          <w:rFonts w:ascii="Century Schoolbook" w:eastAsia="Times New Roman" w:hAnsi="Century Schoolbook" w:cs="Times New Roman"/>
          <w:i/>
          <w:iCs/>
          <w:color w:val="000000"/>
          <w:sz w:val="28"/>
          <w:szCs w:val="28"/>
        </w:rPr>
        <w:t>U.S. v. Johnson</w:t>
      </w:r>
      <w:r w:rsidRPr="008F798C">
        <w:rPr>
          <w:rFonts w:ascii="Century Schoolbook" w:eastAsia="Times New Roman" w:hAnsi="Century Schoolbook" w:cs="Times New Roman"/>
          <w:color w:val="000000"/>
          <w:sz w:val="28"/>
          <w:szCs w:val="28"/>
        </w:rPr>
        <w:t>, 416 F.3d 464, 467 (6th Cir. 2005)).</w:t>
      </w:r>
    </w:p>
    <w:p w14:paraId="14DC938B"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lastRenderedPageBreak/>
        <w:t xml:space="preserve">Here, the evidence of anti-saturation measures was undisputed. The program was limited to 5,000 participants and additional anti-saturation measures were built into the plan. For example, Emperors could make money through a successful casino, customers who bought chips from the casino, customers who used the </w:t>
      </w:r>
      <w:proofErr w:type="spellStart"/>
      <w:r w:rsidRPr="008F798C">
        <w:rPr>
          <w:rFonts w:ascii="Century Schoolbook" w:eastAsia="Times New Roman" w:hAnsi="Century Schoolbook" w:cs="Times New Roman"/>
          <w:color w:val="000000"/>
          <w:sz w:val="28"/>
          <w:szCs w:val="28"/>
        </w:rPr>
        <w:t>Songstagram</w:t>
      </w:r>
      <w:proofErr w:type="spellEnd"/>
      <w:r w:rsidRPr="008F798C">
        <w:rPr>
          <w:rFonts w:ascii="Century Schoolbook" w:eastAsia="Times New Roman" w:hAnsi="Century Schoolbook" w:cs="Times New Roman"/>
          <w:color w:val="000000"/>
          <w:sz w:val="28"/>
          <w:szCs w:val="28"/>
        </w:rPr>
        <w:t xml:space="preserve"> app, and customers who played Fantasy Sports, the Boardwalk program, and the travel program.</w:t>
      </w:r>
      <w:r w:rsidRPr="008F798C">
        <w:rPr>
          <w:rFonts w:ascii="Century Schoolbook" w:eastAsia="Times New Roman" w:hAnsi="Century Schoolbook" w:cs="Times New Roman"/>
          <w:i/>
          <w:iCs/>
          <w:color w:val="000000"/>
          <w:sz w:val="28"/>
          <w:szCs w:val="28"/>
        </w:rPr>
        <w:t xml:space="preserve"> </w:t>
      </w:r>
      <w:r w:rsidRPr="008F798C">
        <w:rPr>
          <w:rFonts w:ascii="Century Schoolbook" w:eastAsia="Times New Roman" w:hAnsi="Century Schoolbook" w:cs="Times New Roman"/>
          <w:color w:val="000000"/>
          <w:sz w:val="28"/>
          <w:szCs w:val="28"/>
        </w:rPr>
        <w:t>(</w:t>
      </w:r>
      <w:r w:rsidRPr="008F798C">
        <w:rPr>
          <w:rFonts w:ascii="Century Schoolbook" w:eastAsia="Times New Roman" w:hAnsi="Century Schoolbook" w:cs="Times New Roman"/>
          <w:i/>
          <w:iCs/>
          <w:color w:val="000000"/>
          <w:sz w:val="28"/>
          <w:szCs w:val="28"/>
        </w:rPr>
        <w:t>See</w:t>
      </w:r>
      <w:r w:rsidRPr="008F798C">
        <w:rPr>
          <w:rFonts w:ascii="Century Schoolbook" w:eastAsia="Times New Roman" w:hAnsi="Century Schoolbook" w:cs="Times New Roman"/>
          <w:color w:val="000000"/>
          <w:sz w:val="28"/>
          <w:szCs w:val="28"/>
        </w:rPr>
        <w:t xml:space="preserve"> 10/27/2023CD, US Ex.101a (listing products Emperors could earn “BV” in the pay plan and, thus, compensation). Emperors had the ability to earn compensation as a result of these products. (</w:t>
      </w:r>
      <w:r w:rsidRPr="008F798C">
        <w:rPr>
          <w:rFonts w:ascii="Century Schoolbook" w:eastAsia="Times New Roman" w:hAnsi="Century Schoolbook" w:cs="Times New Roman"/>
          <w:i/>
          <w:iCs/>
          <w:color w:val="000000"/>
          <w:sz w:val="28"/>
          <w:szCs w:val="28"/>
        </w:rPr>
        <w:t xml:space="preserve">See, </w:t>
      </w:r>
      <w:proofErr w:type="gramStart"/>
      <w:r w:rsidRPr="008F798C">
        <w:rPr>
          <w:rFonts w:ascii="Century Schoolbook" w:eastAsia="Times New Roman" w:hAnsi="Century Schoolbook" w:cs="Times New Roman"/>
          <w:i/>
          <w:iCs/>
          <w:color w:val="000000"/>
          <w:sz w:val="28"/>
          <w:szCs w:val="28"/>
        </w:rPr>
        <w:t>e.g.</w:t>
      </w:r>
      <w:proofErr w:type="gramEnd"/>
      <w:r w:rsidRPr="008F798C">
        <w:rPr>
          <w:rFonts w:ascii="Century Schoolbook" w:eastAsia="Times New Roman" w:hAnsi="Century Schoolbook" w:cs="Times New Roman"/>
          <w:i/>
          <w:iCs/>
          <w:color w:val="000000"/>
          <w:sz w:val="28"/>
          <w:szCs w:val="28"/>
        </w:rPr>
        <w:t xml:space="preserve"> </w:t>
      </w:r>
      <w:r w:rsidRPr="008F798C">
        <w:rPr>
          <w:rFonts w:ascii="Century Schoolbook" w:eastAsia="Times New Roman" w:hAnsi="Century Schoolbook" w:cs="Times New Roman"/>
          <w:color w:val="000000"/>
          <w:sz w:val="28"/>
          <w:szCs w:val="28"/>
        </w:rPr>
        <w:t xml:space="preserve">R.504, #4309-11; R.497, #4063-68; 10/27/2023CD, US Ex.101c.) The </w:t>
      </w:r>
      <w:proofErr w:type="gramStart"/>
      <w:r w:rsidRPr="008F798C">
        <w:rPr>
          <w:rFonts w:ascii="Century Schoolbook" w:eastAsia="Times New Roman" w:hAnsi="Century Schoolbook" w:cs="Times New Roman"/>
          <w:color w:val="000000"/>
          <w:sz w:val="28"/>
          <w:szCs w:val="28"/>
        </w:rPr>
        <w:t>Emperor</w:t>
      </w:r>
      <w:proofErr w:type="gramEnd"/>
      <w:r w:rsidRPr="008F798C">
        <w:rPr>
          <w:rFonts w:ascii="Century Schoolbook" w:eastAsia="Times New Roman" w:hAnsi="Century Schoolbook" w:cs="Times New Roman"/>
          <w:color w:val="000000"/>
          <w:sz w:val="28"/>
          <w:szCs w:val="28"/>
        </w:rPr>
        <w:t xml:space="preserve"> program was not going to fail because of market saturation; it would succeed or fail based on the success of the online casino and the continued distribution of I2G products. </w:t>
      </w:r>
    </w:p>
    <w:p w14:paraId="6D14E5E7"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Further, the Government conceded that “saturation…is not at issue in this case.” (R.381, #2922). However, </w:t>
      </w: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 xml:space="preserve">defined an illegal pyramid scheme as a plan with a saturation issue.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 177 F.3d at 479. A company that has no risk of saturation is not a pyramid scheme.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at 484. It was error in this case to shift the burden of proving anti-saturation to Hosseinipour.</w:t>
      </w:r>
    </w:p>
    <w:p w14:paraId="55C4D347" w14:textId="77777777" w:rsidR="008F798C" w:rsidRPr="008F798C" w:rsidRDefault="008F798C" w:rsidP="008F798C">
      <w:pPr>
        <w:spacing w:after="0" w:line="240" w:lineRule="auto"/>
        <w:ind w:left="720" w:hanging="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b/>
          <w:bCs/>
          <w:color w:val="000000"/>
          <w:sz w:val="28"/>
          <w:szCs w:val="28"/>
        </w:rPr>
        <w:lastRenderedPageBreak/>
        <w:t>G.</w:t>
      </w:r>
      <w:r w:rsidRPr="008F798C">
        <w:rPr>
          <w:rFonts w:ascii="Century Schoolbook" w:eastAsia="Times New Roman" w:hAnsi="Century Schoolbook" w:cs="Times New Roman"/>
          <w:b/>
          <w:bCs/>
          <w:color w:val="000000"/>
          <w:sz w:val="28"/>
          <w:szCs w:val="28"/>
        </w:rPr>
        <w:tab/>
        <w:t>The court incorrectly instructed that its definition of pyramid scheme constituted a scheme to defraud.</w:t>
      </w:r>
    </w:p>
    <w:p w14:paraId="7AEA32DD" w14:textId="77777777" w:rsidR="008F798C" w:rsidRPr="008F798C" w:rsidRDefault="008F798C" w:rsidP="008F798C">
      <w:pPr>
        <w:spacing w:after="0" w:line="240" w:lineRule="auto"/>
        <w:rPr>
          <w:rFonts w:ascii="Times New Roman" w:eastAsia="Times New Roman" w:hAnsi="Times New Roman" w:cs="Times New Roman"/>
          <w:sz w:val="24"/>
          <w:szCs w:val="24"/>
        </w:rPr>
      </w:pPr>
    </w:p>
    <w:p w14:paraId="05AE53F5"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Courts are prohibited “from using evidentiary presumptions in a jury charge that have the effect of relieving the State of its burden of persuasion beyond a reasonable doubt of every essential element of a crime.” </w:t>
      </w:r>
      <w:r w:rsidRPr="008F798C">
        <w:rPr>
          <w:rFonts w:ascii="Century Schoolbook" w:eastAsia="Times New Roman" w:hAnsi="Century Schoolbook" w:cs="Times New Roman"/>
          <w:i/>
          <w:iCs/>
          <w:color w:val="000000"/>
          <w:sz w:val="28"/>
          <w:szCs w:val="28"/>
        </w:rPr>
        <w:t>Francis v. Franklin</w:t>
      </w:r>
      <w:r w:rsidRPr="008F798C">
        <w:rPr>
          <w:rFonts w:ascii="Century Schoolbook" w:eastAsia="Times New Roman" w:hAnsi="Century Schoolbook" w:cs="Times New Roman"/>
          <w:color w:val="000000"/>
          <w:sz w:val="28"/>
          <w:szCs w:val="28"/>
        </w:rPr>
        <w:t>, 471 U.S. 307, 313 (1985). “Jury instructions relieving States of this burden violate a defendant’s due process rights.”</w:t>
      </w:r>
      <w:r w:rsidRPr="008F798C">
        <w:rPr>
          <w:rFonts w:ascii="Century Schoolbook" w:eastAsia="Times New Roman" w:hAnsi="Century Schoolbook" w:cs="Times New Roman"/>
          <w:i/>
          <w:iCs/>
          <w:color w:val="000000"/>
          <w:sz w:val="28"/>
          <w:szCs w:val="28"/>
        </w:rPr>
        <w:t xml:space="preserve"> </w:t>
      </w:r>
      <w:proofErr w:type="spellStart"/>
      <w:r w:rsidRPr="008F798C">
        <w:rPr>
          <w:rFonts w:ascii="Century Schoolbook" w:eastAsia="Times New Roman" w:hAnsi="Century Schoolbook" w:cs="Times New Roman"/>
          <w:i/>
          <w:iCs/>
          <w:color w:val="000000"/>
          <w:sz w:val="28"/>
          <w:szCs w:val="28"/>
        </w:rPr>
        <w:t>Carella</w:t>
      </w:r>
      <w:proofErr w:type="spellEnd"/>
      <w:r w:rsidRPr="008F798C">
        <w:rPr>
          <w:rFonts w:ascii="Century Schoolbook" w:eastAsia="Times New Roman" w:hAnsi="Century Schoolbook" w:cs="Times New Roman"/>
          <w:i/>
          <w:iCs/>
          <w:color w:val="000000"/>
          <w:sz w:val="28"/>
          <w:szCs w:val="28"/>
        </w:rPr>
        <w:t xml:space="preserve"> v. California</w:t>
      </w:r>
      <w:r w:rsidRPr="008F798C">
        <w:rPr>
          <w:rFonts w:ascii="Century Schoolbook" w:eastAsia="Times New Roman" w:hAnsi="Century Schoolbook" w:cs="Times New Roman"/>
          <w:color w:val="000000"/>
          <w:sz w:val="28"/>
          <w:szCs w:val="28"/>
        </w:rPr>
        <w:t>, 491 U.S. 263, 265 (1989).</w:t>
      </w:r>
    </w:p>
    <w:p w14:paraId="0BD7814C"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“[A] trial judge commits error of constitutional magnitude when he instructs the jury as a matter of law that a fact essential to conviction has been established by the evidence, thus depriving the jury of the opportunity to make this finding.” </w:t>
      </w:r>
      <w:r w:rsidRPr="008F798C">
        <w:rPr>
          <w:rFonts w:ascii="Century Schoolbook" w:eastAsia="Times New Roman" w:hAnsi="Century Schoolbook" w:cs="Times New Roman"/>
          <w:i/>
          <w:iCs/>
          <w:color w:val="000000"/>
          <w:sz w:val="28"/>
          <w:szCs w:val="28"/>
          <w:shd w:val="clear" w:color="auto" w:fill="FFFFFF"/>
        </w:rPr>
        <w:t>U.S. v. Mentz</w:t>
      </w:r>
      <w:r w:rsidRPr="008F798C">
        <w:rPr>
          <w:rFonts w:ascii="Century Schoolbook" w:eastAsia="Times New Roman" w:hAnsi="Century Schoolbook" w:cs="Times New Roman"/>
          <w:color w:val="000000"/>
          <w:sz w:val="28"/>
          <w:szCs w:val="28"/>
          <w:shd w:val="clear" w:color="auto" w:fill="FFFFFF"/>
        </w:rPr>
        <w:t>, 840 F.2d 315, 319 (6th Cir. 1988)</w:t>
      </w:r>
      <w:r w:rsidRPr="008F798C">
        <w:rPr>
          <w:rFonts w:ascii="Century Schoolbook" w:eastAsia="Times New Roman" w:hAnsi="Century Schoolbook" w:cs="Times New Roman"/>
          <w:color w:val="000000"/>
          <w:sz w:val="28"/>
          <w:szCs w:val="28"/>
        </w:rPr>
        <w:t xml:space="preserve">. This is true for mixed questions of fact and law. </w:t>
      </w:r>
      <w:r w:rsidRPr="008F798C">
        <w:rPr>
          <w:rFonts w:ascii="Century Schoolbook" w:eastAsia="Times New Roman" w:hAnsi="Century Schoolbook" w:cs="Times New Roman"/>
          <w:i/>
          <w:iCs/>
          <w:color w:val="000000"/>
          <w:sz w:val="28"/>
          <w:szCs w:val="28"/>
        </w:rPr>
        <w:t>U.S. v. Cunningham</w:t>
      </w:r>
      <w:r w:rsidRPr="008F798C">
        <w:rPr>
          <w:rFonts w:ascii="Century Schoolbook" w:eastAsia="Times New Roman" w:hAnsi="Century Schoolbook" w:cs="Times New Roman"/>
          <w:color w:val="000000"/>
          <w:sz w:val="28"/>
          <w:szCs w:val="28"/>
        </w:rPr>
        <w:t>, 679 F.3d 355, 375 (6</w:t>
      </w:r>
      <w:r w:rsidRPr="008F798C">
        <w:rPr>
          <w:rFonts w:ascii="Century Schoolbook" w:eastAsia="Times New Roman" w:hAnsi="Century Schoolbook" w:cs="Times New Roman"/>
          <w:color w:val="000000"/>
          <w:sz w:val="17"/>
          <w:szCs w:val="17"/>
          <w:vertAlign w:val="superscript"/>
        </w:rPr>
        <w:t>th</w:t>
      </w:r>
      <w:r w:rsidRPr="008F798C">
        <w:rPr>
          <w:rFonts w:ascii="Century Schoolbook" w:eastAsia="Times New Roman" w:hAnsi="Century Schoolbook" w:cs="Times New Roman"/>
          <w:color w:val="000000"/>
          <w:sz w:val="28"/>
          <w:szCs w:val="28"/>
        </w:rPr>
        <w:t xml:space="preserve"> Cir. 2012).</w:t>
      </w:r>
    </w:p>
    <w:p w14:paraId="6588094A"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Instruction 8 defined “scheme to defraud” as “any plan or course of action by which someone intends to deprive another of money or property by means of false or fraudulent pretenses, representations, or promises.”</w:t>
      </w:r>
      <w:r w:rsidRPr="008F798C">
        <w:rPr>
          <w:rFonts w:ascii="Century Schoolbook" w:eastAsia="Times New Roman" w:hAnsi="Century Schoolbook" w:cs="Times New Roman"/>
          <w:color w:val="000000"/>
          <w:sz w:val="17"/>
          <w:szCs w:val="17"/>
          <w:vertAlign w:val="superscript"/>
        </w:rPr>
        <w:t xml:space="preserve"> </w:t>
      </w:r>
      <w:r w:rsidRPr="008F798C">
        <w:rPr>
          <w:rFonts w:ascii="Century Schoolbook" w:eastAsia="Times New Roman" w:hAnsi="Century Schoolbook" w:cs="Times New Roman"/>
          <w:color w:val="000000"/>
          <w:sz w:val="28"/>
          <w:szCs w:val="28"/>
        </w:rPr>
        <w:t>(R.554, #5265). In the next paragraph, pyramid scheme was defined.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at #5265).</w:t>
      </w:r>
    </w:p>
    <w:p w14:paraId="2ED93D11"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lastRenderedPageBreak/>
        <w:t>That definition did not include intent to defraud. Despite this, the court instructed at the end of the paragraph: “A pyramid scheme constitutes a scheme or artifice to defraud for purposes of this instruction.” Instruction 9, the securities fraud instruction, repeated the error. </w:t>
      </w:r>
    </w:p>
    <w:p w14:paraId="5F087F34"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Thus, because the court included “intends to deprive…” in its definition of “scheme to defraud” and because the court instructed that a “pyramid scheme” was a “scheme to defraud,” the court effectively directed that if the definition of pyramid scheme was established the jury must find the existence of intent to defraud. </w:t>
      </w:r>
    </w:p>
    <w:p w14:paraId="6404D969"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“We must assume that the jury acted in accordance with the instructions given them.” </w:t>
      </w:r>
      <w:r w:rsidRPr="008F798C">
        <w:rPr>
          <w:rFonts w:ascii="Century Schoolbook" w:eastAsia="Times New Roman" w:hAnsi="Century Schoolbook" w:cs="Times New Roman"/>
          <w:i/>
          <w:iCs/>
          <w:color w:val="000000"/>
          <w:sz w:val="28"/>
          <w:szCs w:val="28"/>
        </w:rPr>
        <w:t>Mentz</w:t>
      </w:r>
      <w:r w:rsidRPr="008F798C">
        <w:rPr>
          <w:rFonts w:ascii="Century Schoolbook" w:eastAsia="Times New Roman" w:hAnsi="Century Schoolbook" w:cs="Times New Roman"/>
          <w:color w:val="000000"/>
          <w:sz w:val="28"/>
          <w:szCs w:val="28"/>
        </w:rPr>
        <w:t xml:space="preserve">, 840 F.2d at 320 n.7. “It is not important that the jury might have reached a similar conclusion had it been given an opportunity to decide the issue under a correct instruction.”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at 320. This was constitutionally infirm. </w:t>
      </w:r>
      <w:r w:rsidRPr="008F798C">
        <w:rPr>
          <w:rFonts w:ascii="Century Schoolbook" w:eastAsia="Times New Roman" w:hAnsi="Century Schoolbook" w:cs="Times New Roman"/>
          <w:i/>
          <w:iCs/>
          <w:color w:val="000000"/>
          <w:sz w:val="28"/>
          <w:szCs w:val="28"/>
        </w:rPr>
        <w:t>See Francis</w:t>
      </w:r>
      <w:r w:rsidRPr="008F798C">
        <w:rPr>
          <w:rFonts w:ascii="Century Schoolbook" w:eastAsia="Times New Roman" w:hAnsi="Century Schoolbook" w:cs="Times New Roman"/>
          <w:color w:val="000000"/>
          <w:sz w:val="28"/>
          <w:szCs w:val="28"/>
        </w:rPr>
        <w:t>, 471 U.S. at 313.  </w:t>
      </w:r>
    </w:p>
    <w:p w14:paraId="29158416"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A similar but distinct issue arose in </w:t>
      </w:r>
      <w:r w:rsidRPr="008F798C">
        <w:rPr>
          <w:rFonts w:ascii="Century Schoolbook" w:eastAsia="Times New Roman" w:hAnsi="Century Schoolbook" w:cs="Times New Roman"/>
          <w:i/>
          <w:iCs/>
          <w:color w:val="000000"/>
          <w:sz w:val="28"/>
          <w:szCs w:val="28"/>
        </w:rPr>
        <w:t xml:space="preserve">Gold. Gold </w:t>
      </w:r>
      <w:r w:rsidRPr="008F798C">
        <w:rPr>
          <w:rFonts w:ascii="Century Schoolbook" w:eastAsia="Times New Roman" w:hAnsi="Century Schoolbook" w:cs="Times New Roman"/>
          <w:color w:val="000000"/>
          <w:sz w:val="28"/>
          <w:szCs w:val="28"/>
        </w:rPr>
        <w:t xml:space="preserve">considered whether the court’s instruction that its pyramid scheme definition constituted a scheme to defraud was plain error. The Court held there was no plain error because a different instruction required the government “to </w:t>
      </w:r>
      <w:r w:rsidRPr="008F798C">
        <w:rPr>
          <w:rFonts w:ascii="Century Schoolbook" w:eastAsia="Times New Roman" w:hAnsi="Century Schoolbook" w:cs="Times New Roman"/>
          <w:color w:val="000000"/>
          <w:sz w:val="28"/>
          <w:szCs w:val="28"/>
        </w:rPr>
        <w:lastRenderedPageBreak/>
        <w:t xml:space="preserve">prove…that the defendants knowingly devised a scheme or artifice to defraud” and the “instructions did not permit or command the jury to infer knowledge from any actions.”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 at 485.  Thus, to convict, the jury had to find that “the defendants knowingly devised a pyramid scheme.”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Judge Moore dissented on this issue and stated, “The problem with this instruction is that a pyramid scheme, as the court defined it, does not necessarily constitute a scheme to defraud.”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at 490. Judge Moore found it inexplicable that the majority could recognize the potential for an effective saturation policy yet conclude “as a matter of law that a pyramid scheme, as defined, constitutes a scheme to defraud.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 xml:space="preserve"> Judge Moore concluded that the instruction “largely eliminated the government’s burden of establishing the existence of a scheme to defraud” and that the error was clear. </w:t>
      </w:r>
      <w:r w:rsidRPr="008F798C">
        <w:rPr>
          <w:rFonts w:ascii="Century Schoolbook" w:eastAsia="Times New Roman" w:hAnsi="Century Schoolbook" w:cs="Times New Roman"/>
          <w:i/>
          <w:iCs/>
          <w:color w:val="000000"/>
          <w:sz w:val="28"/>
          <w:szCs w:val="28"/>
        </w:rPr>
        <w:t xml:space="preserve">Id. </w:t>
      </w:r>
      <w:r w:rsidRPr="008F798C">
        <w:rPr>
          <w:rFonts w:ascii="Century Schoolbook" w:eastAsia="Times New Roman" w:hAnsi="Century Schoolbook" w:cs="Times New Roman"/>
          <w:color w:val="000000"/>
          <w:sz w:val="28"/>
          <w:szCs w:val="28"/>
        </w:rPr>
        <w:t>at 490.</w:t>
      </w:r>
    </w:p>
    <w:p w14:paraId="39790BE5" w14:textId="77777777" w:rsidR="008F798C" w:rsidRPr="008F798C" w:rsidRDefault="008F798C" w:rsidP="008F798C">
      <w:pPr>
        <w:spacing w:after="0" w:line="480" w:lineRule="auto"/>
        <w:ind w:firstLine="720"/>
        <w:jc w:val="both"/>
        <w:rPr>
          <w:rFonts w:ascii="Times New Roman" w:eastAsia="Times New Roman" w:hAnsi="Times New Roman" w:cs="Times New Roman"/>
          <w:sz w:val="24"/>
          <w:szCs w:val="24"/>
        </w:rPr>
      </w:pPr>
      <w:r w:rsidRPr="008F798C">
        <w:rPr>
          <w:rFonts w:ascii="Century Schoolbook" w:eastAsia="Times New Roman" w:hAnsi="Century Schoolbook" w:cs="Times New Roman"/>
          <w:color w:val="000000"/>
          <w:sz w:val="28"/>
          <w:szCs w:val="28"/>
        </w:rPr>
        <w:t xml:space="preserve">The holding of the majority is inapplicable here for at least four reasons. First, the instruction that </w:t>
      </w: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 xml:space="preserve">relied on to salvage the directive that a pyramid scheme is a scheme to defraud is materially different here. In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xml:space="preserve"> in addition to finding a pyramid scheme, the jury had to find the defendant knowingly devised the pyramid scheme. </w:t>
      </w:r>
      <w:r w:rsidRPr="008F798C">
        <w:rPr>
          <w:rFonts w:ascii="Century Schoolbook" w:eastAsia="Times New Roman" w:hAnsi="Century Schoolbook" w:cs="Times New Roman"/>
          <w:i/>
          <w:iCs/>
          <w:color w:val="000000"/>
          <w:sz w:val="28"/>
          <w:szCs w:val="28"/>
        </w:rPr>
        <w:t>Id.</w:t>
      </w:r>
      <w:r w:rsidRPr="008F798C">
        <w:rPr>
          <w:rFonts w:ascii="Century Schoolbook" w:eastAsia="Times New Roman" w:hAnsi="Century Schoolbook" w:cs="Times New Roman"/>
          <w:color w:val="000000"/>
          <w:sz w:val="28"/>
          <w:szCs w:val="28"/>
        </w:rPr>
        <w:t xml:space="preserve"> at 484. Here, that instruction was different. The first element of mail fraud was </w:t>
      </w:r>
      <w:r w:rsidRPr="008F798C">
        <w:rPr>
          <w:rFonts w:ascii="Century Schoolbook" w:eastAsia="Times New Roman" w:hAnsi="Century Schoolbook" w:cs="Times New Roman"/>
          <w:color w:val="000000"/>
          <w:sz w:val="28"/>
          <w:szCs w:val="28"/>
        </w:rPr>
        <w:lastRenderedPageBreak/>
        <w:t xml:space="preserve">“that the defendant </w:t>
      </w:r>
      <w:r w:rsidRPr="008F798C">
        <w:rPr>
          <w:rFonts w:ascii="Century Schoolbook" w:eastAsia="Times New Roman" w:hAnsi="Century Schoolbook" w:cs="Times New Roman"/>
          <w:color w:val="000000"/>
          <w:sz w:val="28"/>
          <w:szCs w:val="28"/>
          <w:u w:val="single"/>
        </w:rPr>
        <w:t>knowingly participated in</w:t>
      </w:r>
      <w:r w:rsidRPr="008F798C">
        <w:rPr>
          <w:rFonts w:ascii="Century Schoolbook" w:eastAsia="Times New Roman" w:hAnsi="Century Schoolbook" w:cs="Times New Roman"/>
          <w:color w:val="000000"/>
          <w:sz w:val="28"/>
          <w:szCs w:val="28"/>
        </w:rPr>
        <w:t xml:space="preserve"> or devised a scheme to defraud.” (R.554, #5265 (emphasis added)). There was no question that the defendants knowingly participated in I2G. Therefore, unlike in </w:t>
      </w:r>
      <w:r w:rsidRPr="008F798C">
        <w:rPr>
          <w:rFonts w:ascii="Century Schoolbook" w:eastAsia="Times New Roman" w:hAnsi="Century Schoolbook" w:cs="Times New Roman"/>
          <w:i/>
          <w:iCs/>
          <w:color w:val="000000"/>
          <w:sz w:val="28"/>
          <w:szCs w:val="28"/>
        </w:rPr>
        <w:t>Gold</w:t>
      </w:r>
      <w:r w:rsidRPr="008F798C">
        <w:rPr>
          <w:rFonts w:ascii="Century Schoolbook" w:eastAsia="Times New Roman" w:hAnsi="Century Schoolbook" w:cs="Times New Roman"/>
          <w:color w:val="000000"/>
          <w:sz w:val="28"/>
          <w:szCs w:val="28"/>
        </w:rPr>
        <w:t>, if the jury found I2G was a pyramid scheme and, thus, a scheme to defraud, the jury would have to conclude that the defendants “knowingly participated” in the scheme to defraud. Defendants attempted to address this by requesting an instruction requiring that a defendant knowingly devised a pyramid scheme. (R.703, #11105-09). The Government disagreed that this was required, and the request was rejected. </w:t>
      </w:r>
    </w:p>
    <w:p w14:paraId="483AE09F" w14:textId="73CA2A1A" w:rsidR="00F55388" w:rsidRDefault="008F798C" w:rsidP="008F798C">
      <w:r w:rsidRPr="008F798C">
        <w:rPr>
          <w:rFonts w:ascii="Century Schoolbook" w:eastAsia="Times New Roman" w:hAnsi="Century Schoolbook" w:cs="Times New Roman"/>
          <w:color w:val="000000"/>
          <w:sz w:val="28"/>
          <w:szCs w:val="28"/>
        </w:rPr>
        <w:t xml:space="preserve">Second, the instructions are also distinct because the crime here was conspiracy (not substantive mail fraud), and the conspiracy instruction lacked the element of intent to defraud.  Third, unlike </w:t>
      </w:r>
      <w:r w:rsidRPr="008F798C">
        <w:rPr>
          <w:rFonts w:ascii="Century Schoolbook" w:eastAsia="Times New Roman" w:hAnsi="Century Schoolbook" w:cs="Times New Roman"/>
          <w:i/>
          <w:iCs/>
          <w:color w:val="000000"/>
          <w:sz w:val="28"/>
          <w:szCs w:val="28"/>
        </w:rPr>
        <w:t xml:space="preserve">Gold, </w:t>
      </w:r>
      <w:r w:rsidRPr="008F798C">
        <w:rPr>
          <w:rFonts w:ascii="Century Schoolbook" w:eastAsia="Times New Roman" w:hAnsi="Century Schoolbook" w:cs="Times New Roman"/>
          <w:color w:val="000000"/>
          <w:sz w:val="28"/>
          <w:szCs w:val="28"/>
        </w:rPr>
        <w:t xml:space="preserve">the review here is not plain error. The issue was preserved in tendered instructions and objection. (R.703, #11110-11; </w:t>
      </w:r>
      <w:r w:rsidRPr="008F798C">
        <w:rPr>
          <w:rFonts w:ascii="Century Schoolbook" w:eastAsia="Times New Roman" w:hAnsi="Century Schoolbook" w:cs="Times New Roman"/>
          <w:i/>
          <w:iCs/>
          <w:color w:val="000000"/>
          <w:sz w:val="28"/>
          <w:szCs w:val="28"/>
        </w:rPr>
        <w:t>see Mattox v. Edelman</w:t>
      </w:r>
      <w:r w:rsidRPr="008F798C">
        <w:rPr>
          <w:rFonts w:ascii="Century Schoolbook" w:eastAsia="Times New Roman" w:hAnsi="Century Schoolbook" w:cs="Times New Roman"/>
          <w:color w:val="000000"/>
          <w:sz w:val="28"/>
          <w:szCs w:val="28"/>
        </w:rPr>
        <w:t xml:space="preserve">, 851 F.3d 583, 593 (6th Cir. 2017)(previous “panel’s dicta do not bind [new panel]”)). Fourth, in </w:t>
      </w:r>
      <w:proofErr w:type="spellStart"/>
      <w:r w:rsidRPr="008F798C">
        <w:rPr>
          <w:rFonts w:ascii="Century Schoolbook" w:eastAsia="Times New Roman" w:hAnsi="Century Schoolbook" w:cs="Times New Roman"/>
          <w:i/>
          <w:iCs/>
          <w:color w:val="000000"/>
          <w:sz w:val="28"/>
          <w:szCs w:val="28"/>
          <w:shd w:val="clear" w:color="auto" w:fill="FFFFFF"/>
        </w:rPr>
        <w:t>Ruan</w:t>
      </w:r>
      <w:proofErr w:type="spellEnd"/>
      <w:r w:rsidRPr="008F798C">
        <w:rPr>
          <w:rFonts w:ascii="Century Schoolbook" w:eastAsia="Times New Roman" w:hAnsi="Century Schoolbook" w:cs="Times New Roman"/>
          <w:i/>
          <w:iCs/>
          <w:color w:val="000000"/>
          <w:sz w:val="28"/>
          <w:szCs w:val="28"/>
          <w:shd w:val="clear" w:color="auto" w:fill="FFFFFF"/>
        </w:rPr>
        <w:t xml:space="preserve"> v. U.S.</w:t>
      </w:r>
      <w:r w:rsidRPr="008F798C">
        <w:rPr>
          <w:rFonts w:ascii="Century Schoolbook" w:eastAsia="Times New Roman" w:hAnsi="Century Schoolbook" w:cs="Times New Roman"/>
          <w:color w:val="000000"/>
          <w:sz w:val="28"/>
          <w:szCs w:val="28"/>
          <w:shd w:val="clear" w:color="auto" w:fill="FFFFFF"/>
        </w:rPr>
        <w:t>, 142 S. Ct. 2370, 2376 (2022), the Supreme Court recently stressed that “criminal law seeks to punish the vicious will” and that “wrongdoing must be conscious to the criminal.” The Court reinforced the importance that the scienter element exists with respect to each element.</w:t>
      </w:r>
    </w:p>
    <w:sectPr w:rsidR="00F553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98C"/>
    <w:rsid w:val="00473C6D"/>
    <w:rsid w:val="008F798C"/>
    <w:rsid w:val="009A0E10"/>
    <w:rsid w:val="00BA50C7"/>
    <w:rsid w:val="00F553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81EA50"/>
  <w15:chartTrackingRefBased/>
  <w15:docId w15:val="{786D6366-ECBE-4E65-B447-A8554A4EB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16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2637</Words>
  <Characters>13951</Characters>
  <Application>Microsoft Office Word</Application>
  <DocSecurity>0</DocSecurity>
  <Lines>377</Lines>
  <Paragraphs>291</Paragraphs>
  <ScaleCrop>false</ScaleCrop>
  <Company/>
  <LinksUpToDate>false</LinksUpToDate>
  <CharactersWithSpaces>16297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Faraday Hosseinipour</dc:creator>
  <cp:keywords/>
  <dc:description/>
  <cp:lastModifiedBy>Faraday Hosseinipour</cp:lastModifiedBy>
  <cp:revision>1</cp:revision>
  <dcterms:created xsi:type="dcterms:W3CDTF">2025-01-06T04:55:00Z</dcterms:created>
  <dcterms:modified xsi:type="dcterms:W3CDTF">2025-01-06T04:56:00Z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daaa475b-4dd9-46dd-9c1d-b57f24d27dc7</vt:lpwstr>
  </property>
</Properties>
</file>