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71" w:rsidRPr="00D25371" w:rsidRDefault="00D25371" w:rsidP="00D25371">
      <w:pPr>
        <w:spacing w:after="0" w:line="240" w:lineRule="auto"/>
        <w:ind w:hanging="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b/>
          <w:bCs/>
          <w:color w:val="000000"/>
          <w:sz w:val="28"/>
          <w:szCs w:val="28"/>
        </w:rPr>
        <w:t>I.</w:t>
      </w:r>
      <w:r w:rsidRPr="00D25371">
        <w:rPr>
          <w:rFonts w:ascii="Century Schoolbook" w:eastAsia="Times New Roman" w:hAnsi="Century Schoolbook" w:cs="Times New Roman"/>
          <w:b/>
          <w:bCs/>
          <w:color w:val="000000"/>
          <w:sz w:val="28"/>
          <w:szCs w:val="28"/>
        </w:rPr>
        <w:tab/>
        <w:t>HOSSEINIPOUR’S TRIAL COUNSEL WAS INEFFECTIVE AND CONSTITUTIONALLY DEFICIENT. </w:t>
      </w:r>
    </w:p>
    <w:p w:rsidR="00D25371" w:rsidRPr="00D25371" w:rsidRDefault="00D25371" w:rsidP="00D25371">
      <w:pPr>
        <w:spacing w:after="0" w:line="240" w:lineRule="auto"/>
        <w:rPr>
          <w:rFonts w:ascii="Times New Roman" w:eastAsia="Times New Roman" w:hAnsi="Times New Roman" w:cs="Times New Roman"/>
          <w:sz w:val="24"/>
          <w:szCs w:val="24"/>
        </w:rPr>
      </w:pP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Hosseinipour appeals the denial of her Rule 33 motion. “Rule 33’s ‘interest of justice’ standard allows the grant of a new trial where substantial legal error has occurred.” </w:t>
      </w:r>
      <w:r w:rsidRPr="00D25371">
        <w:rPr>
          <w:rFonts w:ascii="Century Schoolbook" w:eastAsia="Times New Roman" w:hAnsi="Century Schoolbook" w:cs="Times New Roman"/>
          <w:i/>
          <w:iCs/>
          <w:color w:val="000000"/>
          <w:sz w:val="28"/>
          <w:szCs w:val="28"/>
        </w:rPr>
        <w:t>United States v. Munoz</w:t>
      </w:r>
      <w:r w:rsidRPr="00D25371">
        <w:rPr>
          <w:rFonts w:ascii="Century Schoolbook" w:eastAsia="Times New Roman" w:hAnsi="Century Schoolbook" w:cs="Times New Roman"/>
          <w:color w:val="000000"/>
          <w:sz w:val="28"/>
          <w:szCs w:val="28"/>
        </w:rPr>
        <w:t xml:space="preserve">, 605 F.3d 359, 373 (6th Cir. 2010). “A violation of [defendant’s] Sixth Amendment right to effective assistance of counsel clearly meets this standard.” </w:t>
      </w:r>
      <w:r w:rsidRPr="00D25371">
        <w:rPr>
          <w:rFonts w:ascii="Century Schoolbook" w:eastAsia="Times New Roman" w:hAnsi="Century Schoolbook" w:cs="Times New Roman"/>
          <w:i/>
          <w:iCs/>
          <w:color w:val="000000"/>
          <w:sz w:val="28"/>
          <w:szCs w:val="28"/>
        </w:rPr>
        <w:t>Id.</w:t>
      </w:r>
      <w:r w:rsidRPr="00D25371">
        <w:rPr>
          <w:rFonts w:ascii="Century Schoolbook" w:eastAsia="Times New Roman" w:hAnsi="Century Schoolbook" w:cs="Times New Roman"/>
          <w:color w:val="000000"/>
          <w:sz w:val="28"/>
          <w:szCs w:val="28"/>
        </w:rPr>
        <w:t xml:space="preserve"> Rule 33’s broad standard does not require reversible error. </w:t>
      </w:r>
      <w:r w:rsidRPr="00D25371">
        <w:rPr>
          <w:rFonts w:ascii="Century Schoolbook" w:eastAsia="Times New Roman" w:hAnsi="Century Schoolbook" w:cs="Times New Roman"/>
          <w:i/>
          <w:iCs/>
          <w:color w:val="000000"/>
          <w:sz w:val="28"/>
          <w:szCs w:val="28"/>
        </w:rPr>
        <w:t>Id.</w:t>
      </w:r>
      <w:r w:rsidRPr="00D25371">
        <w:rPr>
          <w:rFonts w:ascii="Century Schoolbook" w:eastAsia="Times New Roman" w:hAnsi="Century Schoolbook" w:cs="Times New Roman"/>
          <w:color w:val="000000"/>
          <w:sz w:val="28"/>
          <w:szCs w:val="28"/>
        </w:rPr>
        <w:t xml:space="preserve"> The Sixth Circuit has left open whether a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 xml:space="preserve"> light analysis applies where a defendant appeals a motion for a new trial based on ineffective assistance of counsel. </w:t>
      </w:r>
      <w:r w:rsidRPr="00D25371">
        <w:rPr>
          <w:rFonts w:ascii="Century Schoolbook" w:eastAsia="Times New Roman" w:hAnsi="Century Schoolbook" w:cs="Times New Roman"/>
          <w:i/>
          <w:iCs/>
          <w:color w:val="000000"/>
          <w:sz w:val="28"/>
          <w:szCs w:val="28"/>
        </w:rPr>
        <w:t>United States v. Arny</w:t>
      </w:r>
      <w:r w:rsidRPr="00D25371">
        <w:rPr>
          <w:rFonts w:ascii="Century Schoolbook" w:eastAsia="Times New Roman" w:hAnsi="Century Schoolbook" w:cs="Times New Roman"/>
          <w:color w:val="000000"/>
          <w:sz w:val="28"/>
          <w:szCs w:val="28"/>
        </w:rPr>
        <w:t xml:space="preserve">, 831 F.3d 725, 731 (6th Cir. 2016). Habeas relief and Rule 33 motions are different. </w:t>
      </w:r>
      <w:r w:rsidRPr="00D25371">
        <w:rPr>
          <w:rFonts w:ascii="Century Schoolbook" w:eastAsia="Times New Roman" w:hAnsi="Century Schoolbook" w:cs="Times New Roman"/>
          <w:i/>
          <w:iCs/>
          <w:color w:val="000000"/>
          <w:sz w:val="28"/>
          <w:szCs w:val="28"/>
        </w:rPr>
        <w:t>Castro v. United States</w:t>
      </w:r>
      <w:r w:rsidRPr="00D25371">
        <w:rPr>
          <w:rFonts w:ascii="Century Schoolbook" w:eastAsia="Times New Roman" w:hAnsi="Century Schoolbook" w:cs="Times New Roman"/>
          <w:color w:val="000000"/>
          <w:sz w:val="28"/>
          <w:szCs w:val="28"/>
        </w:rPr>
        <w:t xml:space="preserve">, 540 U.S. 375, 383 (2003); </w:t>
      </w:r>
      <w:r w:rsidRPr="00D25371">
        <w:rPr>
          <w:rFonts w:ascii="Century Schoolbook" w:eastAsia="Times New Roman" w:hAnsi="Century Schoolbook" w:cs="Times New Roman"/>
          <w:i/>
          <w:iCs/>
          <w:color w:val="000000"/>
          <w:sz w:val="28"/>
          <w:szCs w:val="28"/>
        </w:rPr>
        <w:t>Tibbs v. Florida</w:t>
      </w:r>
      <w:r w:rsidRPr="00D25371">
        <w:rPr>
          <w:rFonts w:ascii="Century Schoolbook" w:eastAsia="Times New Roman" w:hAnsi="Century Schoolbook" w:cs="Times New Roman"/>
          <w:color w:val="000000"/>
          <w:sz w:val="28"/>
          <w:szCs w:val="28"/>
        </w:rPr>
        <w:t xml:space="preserve">, 457 U.S. 31, 38 n.12 (1982)(courts interpret Rule 33 standard broadly). The plain language of Rule 33 requires a lighter standard than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w:t>
      </w:r>
      <w:r w:rsidRPr="00D25371">
        <w:rPr>
          <w:rFonts w:ascii="Garamond" w:eastAsia="Times New Roman" w:hAnsi="Garamond" w:cs="Times New Roman"/>
          <w:color w:val="000000"/>
          <w:sz w:val="28"/>
          <w:szCs w:val="28"/>
        </w:rPr>
        <w:t xml:space="preserve"> </w:t>
      </w:r>
      <w:r w:rsidRPr="00D25371">
        <w:rPr>
          <w:rFonts w:ascii="Century Schoolbook" w:eastAsia="Times New Roman" w:hAnsi="Century Schoolbook" w:cs="Times New Roman"/>
          <w:i/>
          <w:iCs/>
          <w:color w:val="000000"/>
          <w:sz w:val="28"/>
          <w:szCs w:val="28"/>
        </w:rPr>
        <w:t>Eberhart v. U.S.</w:t>
      </w:r>
      <w:r w:rsidRPr="00D25371">
        <w:rPr>
          <w:rFonts w:ascii="Century Schoolbook" w:eastAsia="Times New Roman" w:hAnsi="Century Schoolbook" w:cs="Times New Roman"/>
          <w:color w:val="000000"/>
          <w:sz w:val="28"/>
          <w:szCs w:val="28"/>
        </w:rPr>
        <w:t>, 546 U.S. 12, 13 (2005)(“Federal Rule of Criminal Procedure 33(a) allows a district court to ‘vacate any judgment and grant a new trial if the interest of justice so requires.’”).</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Alternatively, under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 xml:space="preserve">, “a defendant must show (1) ‘that counsel’s representation fell below an objective standard of </w:t>
      </w:r>
      <w:r w:rsidRPr="00D25371">
        <w:rPr>
          <w:rFonts w:ascii="Century Schoolbook" w:eastAsia="Times New Roman" w:hAnsi="Century Schoolbook" w:cs="Times New Roman"/>
          <w:color w:val="000000"/>
          <w:sz w:val="28"/>
          <w:szCs w:val="28"/>
        </w:rPr>
        <w:lastRenderedPageBreak/>
        <w:t xml:space="preserve">reasonableness’ and (2) that ‘counsel’s performance [was] prejudicial to the defense.’” </w:t>
      </w:r>
      <w:r w:rsidRPr="00D25371">
        <w:rPr>
          <w:rFonts w:ascii="Century Schoolbook" w:eastAsia="Times New Roman" w:hAnsi="Century Schoolbook" w:cs="Times New Roman"/>
          <w:i/>
          <w:iCs/>
          <w:color w:val="000000"/>
          <w:sz w:val="28"/>
          <w:szCs w:val="28"/>
        </w:rPr>
        <w:t>Munoz</w:t>
      </w:r>
      <w:r w:rsidRPr="00D25371">
        <w:rPr>
          <w:rFonts w:ascii="Century Schoolbook" w:eastAsia="Times New Roman" w:hAnsi="Century Schoolbook" w:cs="Times New Roman"/>
          <w:color w:val="000000"/>
          <w:sz w:val="28"/>
          <w:szCs w:val="28"/>
        </w:rPr>
        <w:t xml:space="preserve">, 605 F.3d at 376 (quoting </w:t>
      </w:r>
      <w:r w:rsidRPr="00D25371">
        <w:rPr>
          <w:rFonts w:ascii="Century Schoolbook" w:eastAsia="Times New Roman" w:hAnsi="Century Schoolbook" w:cs="Times New Roman"/>
          <w:i/>
          <w:iCs/>
          <w:color w:val="000000"/>
          <w:sz w:val="28"/>
          <w:szCs w:val="28"/>
        </w:rPr>
        <w:t>Strickland v. Washington</w:t>
      </w:r>
      <w:r w:rsidRPr="00D25371">
        <w:rPr>
          <w:rFonts w:ascii="Century Schoolbook" w:eastAsia="Times New Roman" w:hAnsi="Century Schoolbook" w:cs="Times New Roman"/>
          <w:color w:val="000000"/>
          <w:sz w:val="28"/>
          <w:szCs w:val="28"/>
        </w:rPr>
        <w:t xml:space="preserve">, 466 U.S. 668, 671 (1984)). Defendants are entitled to effective representation of competent counsel at every stage of the proceedings, including plea negotiations. </w:t>
      </w:r>
      <w:r w:rsidRPr="00D25371">
        <w:rPr>
          <w:rFonts w:ascii="Century Schoolbook" w:eastAsia="Times New Roman" w:hAnsi="Century Schoolbook" w:cs="Times New Roman"/>
          <w:i/>
          <w:iCs/>
          <w:color w:val="000000"/>
          <w:sz w:val="28"/>
          <w:szCs w:val="28"/>
        </w:rPr>
        <w:t>Lafler v. Cooper</w:t>
      </w:r>
      <w:r w:rsidRPr="00D25371">
        <w:rPr>
          <w:rFonts w:ascii="Century Schoolbook" w:eastAsia="Times New Roman" w:hAnsi="Century Schoolbook" w:cs="Times New Roman"/>
          <w:color w:val="000000"/>
          <w:sz w:val="28"/>
          <w:szCs w:val="28"/>
        </w:rPr>
        <w:t xml:space="preserve">, 566 U.S. 156, 162 (2012). To justify reversal, defendant must have suffered prejudice, shown by “a reasonable probability” “sufficient to undermine confidence in the outcome” of the proceeding “that, but for counsel’s unprofessional errors, the result of the proceeding would have been different.”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 466 U.S. at 671.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The Court may address an ineffective-assistance-of-counsel argument on direct appeal “‘when the existing record is adequate to assess properly the merits of the claim.’” </w:t>
      </w:r>
      <w:r w:rsidRPr="00D25371">
        <w:rPr>
          <w:rFonts w:ascii="Century Schoolbook" w:eastAsia="Times New Roman" w:hAnsi="Century Schoolbook" w:cs="Times New Roman"/>
          <w:i/>
          <w:iCs/>
          <w:color w:val="000000"/>
          <w:sz w:val="28"/>
          <w:szCs w:val="28"/>
        </w:rPr>
        <w:t>United States v. Hynes</w:t>
      </w:r>
      <w:r w:rsidRPr="00D25371">
        <w:rPr>
          <w:rFonts w:ascii="Century Schoolbook" w:eastAsia="Times New Roman" w:hAnsi="Century Schoolbook" w:cs="Times New Roman"/>
          <w:color w:val="000000"/>
          <w:sz w:val="28"/>
          <w:szCs w:val="28"/>
        </w:rPr>
        <w:t xml:space="preserve">, 467 F.3d 951, 969 (6th Cir. 2006) (quoting </w:t>
      </w:r>
      <w:r w:rsidRPr="00D25371">
        <w:rPr>
          <w:rFonts w:ascii="Century Schoolbook" w:eastAsia="Times New Roman" w:hAnsi="Century Schoolbook" w:cs="Times New Roman"/>
          <w:i/>
          <w:iCs/>
          <w:color w:val="000000"/>
          <w:sz w:val="28"/>
          <w:szCs w:val="28"/>
        </w:rPr>
        <w:t>United States v. Franklin</w:t>
      </w:r>
      <w:r w:rsidRPr="00D25371">
        <w:rPr>
          <w:rFonts w:ascii="Century Schoolbook" w:eastAsia="Times New Roman" w:hAnsi="Century Schoolbook" w:cs="Times New Roman"/>
          <w:color w:val="000000"/>
          <w:sz w:val="28"/>
          <w:szCs w:val="28"/>
        </w:rPr>
        <w:t>, 415 F.3d 537, 555-56 (6th Cir. 2005)). Here, the record is adequate, and the court improperly denied Hosseinipour a new trial and an evidentiary hearing on this issue, finding the record did not support her claim.</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Trial counsel, Wayne Manning, provided ineffective assistance of counsel requiring reversal. In the court’s first criminal trial with </w:t>
      </w:r>
      <w:r w:rsidRPr="00D25371">
        <w:rPr>
          <w:rFonts w:ascii="Century Schoolbook" w:eastAsia="Times New Roman" w:hAnsi="Century Schoolbook" w:cs="Times New Roman"/>
          <w:color w:val="000000"/>
          <w:sz w:val="28"/>
          <w:szCs w:val="28"/>
        </w:rPr>
        <w:lastRenderedPageBreak/>
        <w:t>multiple defendants, Hosseinipour was represented by her brother-in-law, a recent graduate of Thomas M. Cooley Law School. (</w:t>
      </w:r>
      <w:r w:rsidRPr="00D25371">
        <w:rPr>
          <w:rFonts w:ascii="Century Schoolbook" w:eastAsia="Times New Roman" w:hAnsi="Century Schoolbook" w:cs="Times New Roman"/>
          <w:i/>
          <w:iCs/>
          <w:color w:val="000000"/>
          <w:sz w:val="28"/>
          <w:szCs w:val="28"/>
        </w:rPr>
        <w:t>See, e.g.</w:t>
      </w:r>
      <w:r w:rsidRPr="00D25371">
        <w:rPr>
          <w:rFonts w:ascii="Century Schoolbook" w:eastAsia="Times New Roman" w:hAnsi="Century Schoolbook" w:cs="Times New Roman"/>
          <w:color w:val="000000"/>
          <w:sz w:val="28"/>
          <w:szCs w:val="28"/>
        </w:rPr>
        <w:t xml:space="preserve"> R. 678, #8022, 8033; R. 578-2, #5426). Manning had relatively no experience in criminal law and had limited experience in trying a criminal case. (R.578-1, #5427). Despite assuring Hosseinipour that he could represent her and that the Government would never try the case against her, Manning offered her no assistance whatsoever, and the decisions he made often prejudiced her more than they helped her. Against this landscape, Hosseinipour’s conviction must be reversed.</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The court specifically held:</w:t>
      </w:r>
    </w:p>
    <w:p w:rsidR="00D25371" w:rsidRPr="00D25371" w:rsidRDefault="00D25371" w:rsidP="00D25371">
      <w:pPr>
        <w:spacing w:after="0" w:line="240" w:lineRule="auto"/>
        <w:ind w:left="720" w:right="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On the first day of trial, the court inquired as to pretrial plea negotiations between the United States and Hosseinipour in accordance with </w:t>
      </w:r>
      <w:r w:rsidRPr="00D25371">
        <w:rPr>
          <w:rFonts w:ascii="Century Schoolbook" w:eastAsia="Times New Roman" w:hAnsi="Century Schoolbook" w:cs="Times New Roman"/>
          <w:i/>
          <w:iCs/>
          <w:color w:val="000000"/>
          <w:sz w:val="28"/>
          <w:szCs w:val="28"/>
        </w:rPr>
        <w:t>Missouri v. Frye</w:t>
      </w:r>
      <w:r w:rsidRPr="00D25371">
        <w:rPr>
          <w:rFonts w:ascii="Century Schoolbook" w:eastAsia="Times New Roman" w:hAnsi="Century Schoolbook" w:cs="Times New Roman"/>
          <w:color w:val="000000"/>
          <w:sz w:val="28"/>
          <w:szCs w:val="28"/>
        </w:rPr>
        <w:t xml:space="preserve">, 566 U.S. 134 (2012). As with all Defendants, the court confirmed that any plea offer had been communicated to Hosseinipour by her attorney. The court also inquired whether she: (i) had sufficient time to discuss the plea offer with her attorney; (ii) understood the potential penalties if convicted; (iii) comprehended the terms of the plea offer; (iv) knew the differences in any potential penalties between the plea offer and a potential guilty verdict; and (v) had decided to proceed to trial. </w:t>
      </w:r>
      <w:r w:rsidRPr="00D25371">
        <w:rPr>
          <w:rFonts w:ascii="Century Schoolbook" w:eastAsia="Times New Roman" w:hAnsi="Century Schoolbook" w:cs="Times New Roman"/>
          <w:b/>
          <w:bCs/>
          <w:color w:val="000000"/>
          <w:sz w:val="28"/>
          <w:szCs w:val="28"/>
          <w:u w:val="single"/>
        </w:rPr>
        <w:t>Because of her affirmative responses</w:t>
      </w:r>
      <w:r w:rsidRPr="00D25371">
        <w:rPr>
          <w:rFonts w:ascii="Century Schoolbook" w:eastAsia="Times New Roman" w:hAnsi="Century Schoolbook" w:cs="Times New Roman"/>
          <w:color w:val="000000"/>
          <w:sz w:val="28"/>
          <w:szCs w:val="28"/>
        </w:rPr>
        <w:t>, the court found that Hosseinipour had knowingly chosen to proceed to trial notwithstanding the potential risks. </w:t>
      </w:r>
    </w:p>
    <w:p w:rsidR="00D25371" w:rsidRPr="00D25371" w:rsidRDefault="00D25371" w:rsidP="00D25371">
      <w:pPr>
        <w:spacing w:after="0" w:line="240" w:lineRule="auto"/>
        <w:rPr>
          <w:rFonts w:ascii="Times New Roman" w:eastAsia="Times New Roman" w:hAnsi="Times New Roman" w:cs="Times New Roman"/>
          <w:sz w:val="24"/>
          <w:szCs w:val="24"/>
        </w:rPr>
      </w:pPr>
    </w:p>
    <w:p w:rsidR="00D25371" w:rsidRPr="00D25371" w:rsidRDefault="00D25371" w:rsidP="00D25371">
      <w:pPr>
        <w:spacing w:after="0" w:line="480" w:lineRule="auto"/>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(R.630, #6164). However, the court did not pose those questions. (R.630, #6164). And, Hosseinipour naturally did not answer those questions. </w:t>
      </w:r>
      <w:r w:rsidRPr="00D25371">
        <w:rPr>
          <w:rFonts w:ascii="Century Schoolbook" w:eastAsia="Times New Roman" w:hAnsi="Century Schoolbook" w:cs="Times New Roman"/>
          <w:color w:val="000000"/>
          <w:sz w:val="28"/>
          <w:szCs w:val="28"/>
        </w:rPr>
        <w:lastRenderedPageBreak/>
        <w:t>(R.630, #6164). The court’s denial of Hosseinipour’s argument on ineffective assistance was simply erroneous.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Further, Manning’s representation was constitutionally deficient during plea bargaining when he</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told Hosseinipour the case against her would not go to trial (R.578-1 ¶ 5, 8, 15);</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told Hosseinipour she would not be found guilty or go to jail (id. at ¶ 8);</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did not explain the elements of the charges against Hosseinipour (id. at ¶ 6);</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did not explain the sentencing guidelines and told Hosseinipour that jail was not a possible penalty (id. at ¶ 7–8, 15);</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failed to learn and understand the purpose of a proffer agreement so as to properly advise Hosseinipour when she received requests from the prosecution to meet (id. at ¶ 9–13);</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told Hosseinipour she would commit perjury by pleading guilty (id. at ¶ 15);</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consulted Hosseinipour’s co-defendants’ counsel about whether she should accept the government’s plea offer, and followed their self-serving advice (id. at ¶ 18–19);</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failed to tell Hosseinipour the prosecutor asked if she was willing to accept a plea offer after the March Meeting (id. at ¶ 38); and</w:t>
      </w:r>
    </w:p>
    <w:p w:rsidR="00D25371" w:rsidRPr="00D25371" w:rsidRDefault="00D25371" w:rsidP="00D25371">
      <w:pPr>
        <w:numPr>
          <w:ilvl w:val="0"/>
          <w:numId w:val="1"/>
        </w:numPr>
        <w:spacing w:after="0" w:line="240" w:lineRule="auto"/>
        <w:ind w:left="1080" w:right="720"/>
        <w:jc w:val="both"/>
        <w:textAlignment w:val="baseline"/>
        <w:rPr>
          <w:rFonts w:ascii="Century Schoolbook" w:eastAsia="Times New Roman" w:hAnsi="Century Schoolbook" w:cs="Times New Roman"/>
          <w:color w:val="000000"/>
          <w:sz w:val="28"/>
          <w:szCs w:val="28"/>
        </w:rPr>
      </w:pPr>
      <w:r w:rsidRPr="00D25371">
        <w:rPr>
          <w:rFonts w:ascii="Century Schoolbook" w:eastAsia="Times New Roman" w:hAnsi="Century Schoolbook" w:cs="Times New Roman"/>
          <w:color w:val="000000"/>
          <w:sz w:val="28"/>
          <w:szCs w:val="28"/>
        </w:rPr>
        <w:t>ignored Hosseinipour’s instructions to contact the prosecution regarding a plea deal (</w:t>
      </w:r>
      <w:r w:rsidRPr="00D25371">
        <w:rPr>
          <w:rFonts w:ascii="Century Schoolbook" w:eastAsia="Times New Roman" w:hAnsi="Century Schoolbook" w:cs="Times New Roman"/>
          <w:i/>
          <w:iCs/>
          <w:color w:val="000000"/>
          <w:sz w:val="28"/>
          <w:szCs w:val="28"/>
        </w:rPr>
        <w:t xml:space="preserve">id. </w:t>
      </w:r>
      <w:r w:rsidRPr="00D25371">
        <w:rPr>
          <w:rFonts w:ascii="Century Schoolbook" w:eastAsia="Times New Roman" w:hAnsi="Century Schoolbook" w:cs="Times New Roman"/>
          <w:color w:val="000000"/>
          <w:sz w:val="28"/>
          <w:szCs w:val="28"/>
        </w:rPr>
        <w:t>at ¶ 39–40).</w:t>
      </w:r>
    </w:p>
    <w:p w:rsidR="00D25371" w:rsidRPr="00D25371" w:rsidRDefault="00D25371" w:rsidP="00D25371">
      <w:pPr>
        <w:spacing w:after="0" w:line="240" w:lineRule="auto"/>
        <w:rPr>
          <w:rFonts w:ascii="Times New Roman" w:eastAsia="Times New Roman" w:hAnsi="Times New Roman" w:cs="Times New Roman"/>
          <w:sz w:val="24"/>
          <w:szCs w:val="24"/>
        </w:rPr>
      </w:pP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These were not tactical decisions by Manning but disregard for duties based on ignorance. </w:t>
      </w:r>
      <w:r w:rsidRPr="00D25371">
        <w:rPr>
          <w:rFonts w:ascii="Century Schoolbook" w:eastAsia="Times New Roman" w:hAnsi="Century Schoolbook" w:cs="Times New Roman"/>
          <w:i/>
          <w:iCs/>
          <w:color w:val="000000"/>
          <w:sz w:val="28"/>
          <w:szCs w:val="28"/>
        </w:rPr>
        <w:t>See Strickland v. Washington</w:t>
      </w:r>
      <w:r w:rsidRPr="00D25371">
        <w:rPr>
          <w:rFonts w:ascii="Century Schoolbook" w:eastAsia="Times New Roman" w:hAnsi="Century Schoolbook" w:cs="Times New Roman"/>
          <w:color w:val="000000"/>
          <w:sz w:val="28"/>
          <w:szCs w:val="28"/>
        </w:rPr>
        <w:t xml:space="preserve">, 466 U.S. 668, 688–89 (1984). Manning had no relevant experience (R.578-2, ¶ 10–11, </w:t>
      </w:r>
      <w:r w:rsidRPr="00D25371">
        <w:rPr>
          <w:rFonts w:ascii="Century Schoolbook" w:eastAsia="Times New Roman" w:hAnsi="Century Schoolbook" w:cs="Times New Roman"/>
          <w:color w:val="000000"/>
          <w:sz w:val="28"/>
          <w:szCs w:val="28"/>
        </w:rPr>
        <w:lastRenderedPageBreak/>
        <w:t>13), and he failed to adequately counsel because he was naively confident the charges would be dropped and the case would never go to trial (R.578-1, ¶ 3, 5, 8, 15).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An attorney’s decision to “avoid preparing a defense that might ultimately prove unnecessary” is not reasonably effective representation, serving only the attorney’s interest to not work. </w:t>
      </w:r>
      <w:r w:rsidRPr="00D25371">
        <w:rPr>
          <w:rFonts w:ascii="Century Schoolbook" w:eastAsia="Times New Roman" w:hAnsi="Century Schoolbook" w:cs="Times New Roman"/>
          <w:i/>
          <w:iCs/>
          <w:color w:val="000000"/>
          <w:sz w:val="28"/>
          <w:szCs w:val="28"/>
        </w:rPr>
        <w:t>Pavel v. Hollins</w:t>
      </w:r>
      <w:r w:rsidRPr="00D25371">
        <w:rPr>
          <w:rFonts w:ascii="Century Schoolbook" w:eastAsia="Times New Roman" w:hAnsi="Century Schoolbook" w:cs="Times New Roman"/>
          <w:color w:val="000000"/>
          <w:sz w:val="28"/>
          <w:szCs w:val="28"/>
        </w:rPr>
        <w:t xml:space="preserve">, 261 F.3d 210, 216 (2d Cir. 2001). A defense counsel’s failure to investigate and provide adequate assistance because the counsel did not expect the case to go to trial is not the result of reasoned professional </w:t>
      </w:r>
      <w:r w:rsidRPr="00D25371">
        <w:rPr>
          <w:rFonts w:ascii="Century Schoolbook" w:eastAsia="Times New Roman" w:hAnsi="Century Schoolbook" w:cs="Times New Roman"/>
          <w:color w:val="000000"/>
          <w:sz w:val="28"/>
          <w:szCs w:val="28"/>
          <w:shd w:val="clear" w:color="auto" w:fill="FFFF00"/>
        </w:rPr>
        <w:t>judgment</w:t>
      </w:r>
      <w:r w:rsidRPr="00D25371">
        <w:rPr>
          <w:rFonts w:ascii="Century Schoolbook" w:eastAsia="Times New Roman" w:hAnsi="Century Schoolbook" w:cs="Times New Roman"/>
          <w:color w:val="000000"/>
          <w:sz w:val="28"/>
          <w:szCs w:val="28"/>
        </w:rPr>
        <w:t xml:space="preserve"> or a decision based on trial strategy. </w:t>
      </w:r>
      <w:r w:rsidRPr="00D25371">
        <w:rPr>
          <w:rFonts w:ascii="Century Schoolbook" w:eastAsia="Times New Roman" w:hAnsi="Century Schoolbook" w:cs="Times New Roman"/>
          <w:i/>
          <w:iCs/>
          <w:color w:val="000000"/>
          <w:sz w:val="28"/>
          <w:szCs w:val="28"/>
        </w:rPr>
        <w:t>United States v. Laird</w:t>
      </w:r>
      <w:r w:rsidRPr="00D25371">
        <w:rPr>
          <w:rFonts w:ascii="Century Schoolbook" w:eastAsia="Times New Roman" w:hAnsi="Century Schoolbook" w:cs="Times New Roman"/>
          <w:color w:val="000000"/>
          <w:sz w:val="28"/>
          <w:szCs w:val="28"/>
        </w:rPr>
        <w:t>, 591 F. App’x 332, 337 (6th Cir. 2014) (“O’Briant admitted that she failed to interview any witnesses (including the ones she subpoenaed) or conduct any investigation because she expected the case to result in a plea deal.”).</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Leading up to trial, Manning only filed me-too motions and did not do any preparation because he did not believe the Government would try the case. Finally, in his first “substantive” motion, Manning wrote “Hosseinipour notes that she is of Middle Eastern descent, Defendant Anzalone is Italian, Defendant Dvorin is Russian, and Defendant Syn is </w:t>
      </w:r>
      <w:r w:rsidRPr="00D25371">
        <w:rPr>
          <w:rFonts w:ascii="Century Schoolbook" w:eastAsia="Times New Roman" w:hAnsi="Century Schoolbook" w:cs="Times New Roman"/>
          <w:color w:val="000000"/>
          <w:sz w:val="28"/>
          <w:szCs w:val="28"/>
        </w:rPr>
        <w:lastRenderedPageBreak/>
        <w:t xml:space="preserve">Korean causing this case to be seen as a possible racial profiling case also.” (R.386-1, #2957). Ignoring the legal issues with Manning’s musing, it is a factually incorrect position as Hosseinipour is Caucasian. (R.578-1, #5421). In that motion, Manning argued that Hosseinipour did not actually make $900,000, but he did not offer any proof at trial to show that Hosseinipour made less money. </w:t>
      </w:r>
      <w:r w:rsidRPr="00D25371">
        <w:rPr>
          <w:rFonts w:ascii="Century Schoolbook" w:eastAsia="Times New Roman" w:hAnsi="Century Schoolbook" w:cs="Times New Roman"/>
          <w:color w:val="000000"/>
          <w:sz w:val="28"/>
          <w:szCs w:val="28"/>
          <w:shd w:val="clear" w:color="auto" w:fill="FFFF00"/>
        </w:rPr>
        <w:t>(I like musing)</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Manning’s performance at trial repeatedly demonstrated ineptitude and not conscious tactical decisions. Manning failed to question the defense’s key witness to rebut Keep because he did not tell the court he had questions for the witness. (R.691, #9878). He also failed to ask the other defense expert a question because he thought the court might be annoyed with him, and he had questions for </w:t>
      </w:r>
      <w:r w:rsidRPr="00D25371">
        <w:rPr>
          <w:rFonts w:ascii="Century Schoolbook" w:eastAsia="Times New Roman" w:hAnsi="Century Schoolbook" w:cs="Times New Roman"/>
          <w:color w:val="000000"/>
          <w:sz w:val="28"/>
          <w:szCs w:val="28"/>
          <w:shd w:val="clear" w:color="auto" w:fill="FFFF00"/>
        </w:rPr>
        <w:t>Anzalone the main witness against Hosseinipour that were never asked. (R.691, #9880, 9884).</w:t>
      </w:r>
      <w:r w:rsidRPr="00D25371">
        <w:rPr>
          <w:rFonts w:ascii="Century Schoolbook" w:eastAsia="Times New Roman" w:hAnsi="Century Schoolbook" w:cs="Times New Roman"/>
          <w:color w:val="000000"/>
          <w:sz w:val="28"/>
          <w:szCs w:val="28"/>
        </w:rPr>
        <w:t xml:space="preserve"> Hosseinipour wrote out 150 questions for Anzalone that Manning did not ask. (R.578-1, #5422). </w:t>
      </w:r>
      <w:r w:rsidRPr="00D25371">
        <w:rPr>
          <w:rFonts w:ascii="Century Schoolbook" w:eastAsia="Times New Roman" w:hAnsi="Century Schoolbook" w:cs="Times New Roman"/>
          <w:color w:val="000000"/>
          <w:sz w:val="28"/>
          <w:szCs w:val="28"/>
          <w:shd w:val="clear" w:color="auto" w:fill="FFFF00"/>
        </w:rPr>
        <w:t xml:space="preserve">(specifically- you could state- that Anzalone was questioned on direct for 2 hours on State evidence against Hosseinipour- specifically hearsay emails entered in evidence against Hosseinipour- and failed to challenge or even bring up with Anzalone who was already offering exculpatory explanations to each </w:t>
      </w:r>
      <w:r w:rsidRPr="00D25371">
        <w:rPr>
          <w:rFonts w:ascii="Century Schoolbook" w:eastAsia="Times New Roman" w:hAnsi="Century Schoolbook" w:cs="Times New Roman"/>
          <w:color w:val="000000"/>
          <w:sz w:val="28"/>
          <w:szCs w:val="28"/>
          <w:shd w:val="clear" w:color="auto" w:fill="FFFF00"/>
        </w:rPr>
        <w:lastRenderedPageBreak/>
        <w:t>email on direct.  Manning failed to follow up to challenge the State evidence.  Also Google hangouts with many exculpatory statements.)</w:t>
      </w:r>
    </w:p>
    <w:p w:rsidR="00D25371" w:rsidRPr="00D25371" w:rsidRDefault="00D25371" w:rsidP="00D25371">
      <w:pPr>
        <w:spacing w:after="0" w:line="240" w:lineRule="auto"/>
        <w:rPr>
          <w:rFonts w:ascii="Times New Roman" w:eastAsia="Times New Roman" w:hAnsi="Times New Roman" w:cs="Times New Roman"/>
          <w:sz w:val="24"/>
          <w:szCs w:val="24"/>
        </w:rPr>
      </w:pP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During Agent McClelland’s testimony, Manning asked if this was still the part where he could not object. (R.700, #10606). Manning’s lack of objections were not a strategic decision but because he thought he could not object. The court’s irritation for Manning was that he was not ready when it was his turn, (R.691, #9879) and the court would make </w:t>
      </w:r>
      <w:r w:rsidRPr="00D25371">
        <w:rPr>
          <w:rFonts w:ascii="Century Schoolbook" w:eastAsia="Times New Roman" w:hAnsi="Century Schoolbook" w:cs="Times New Roman"/>
          <w:i/>
          <w:iCs/>
          <w:color w:val="000000"/>
          <w:sz w:val="28"/>
          <w:szCs w:val="28"/>
        </w:rPr>
        <w:t>sua sponte</w:t>
      </w:r>
      <w:r w:rsidRPr="00D25371">
        <w:rPr>
          <w:rFonts w:ascii="Century Schoolbook" w:eastAsia="Times New Roman" w:hAnsi="Century Schoolbook" w:cs="Times New Roman"/>
          <w:color w:val="000000"/>
          <w:sz w:val="28"/>
          <w:szCs w:val="28"/>
        </w:rPr>
        <w:t xml:space="preserve"> objections when its patience with Manning was running out (R.688, #9091; R.689, #9180). The court called Manning “redundant,” “[u]npolished,” and “disorganized.” (R. 675, #7834). Manning thought he could not argue the statute of limitations defense to the jury, and he had to be told by undersigned counsel that he could. (R.690, #9646). Manning told the court to proceed with testimony; even though, he had not finished reviewing 302s because the Government failed to provide him with them the night before. (R.688, #8965). Manning would just start testifying on cross, so the court felt compelled to say “this actually goes for all the attorneys… what the attorneys say is not evidence, so you need to ask a question.” (R.689, #9173).</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lastRenderedPageBreak/>
        <w:t xml:space="preserve">Manning abdicated his duties to his client and advocated to the court that “[t]he main thing was I didn’t want it to be brought up where it could be used for reversal of an appeal.” (“R.671, #7425.”). He then doubled down on that position: “It was just a matter of-- it was a matter of I'm trying to do my best to make sure there's no reversal on appeal of anything.” (R.571, #7439). Had the court and Government not agreed that one objection counts for all, Manning </w:t>
      </w:r>
      <w:r w:rsidRPr="00D25371">
        <w:rPr>
          <w:rFonts w:ascii="Century Schoolbook" w:eastAsia="Times New Roman" w:hAnsi="Century Schoolbook" w:cs="Times New Roman"/>
          <w:color w:val="000000"/>
          <w:sz w:val="28"/>
          <w:szCs w:val="28"/>
          <w:shd w:val="clear" w:color="auto" w:fill="FFFF00"/>
        </w:rPr>
        <w:t>would have had</w:t>
      </w:r>
      <w:r w:rsidRPr="00D25371">
        <w:rPr>
          <w:rFonts w:ascii="Century Schoolbook" w:eastAsia="Times New Roman" w:hAnsi="Century Schoolbook" w:cs="Times New Roman"/>
          <w:color w:val="000000"/>
          <w:sz w:val="28"/>
          <w:szCs w:val="28"/>
        </w:rPr>
        <w:t xml:space="preserve"> it his way because he raised almost no objections, leaving very few non-plain-error appealable issues. Manning’s inexperience, ignorance of the law, and basic misunderstanding of trial and evidence principles fell well below an objective standard of reasonableness. </w:t>
      </w:r>
      <w:r w:rsidRPr="00D25371">
        <w:rPr>
          <w:rFonts w:ascii="Century Schoolbook" w:eastAsia="Times New Roman" w:hAnsi="Century Schoolbook" w:cs="Times New Roman"/>
          <w:i/>
          <w:iCs/>
          <w:color w:val="000000"/>
          <w:sz w:val="28"/>
          <w:szCs w:val="28"/>
        </w:rPr>
        <w:t>See Washington v. Hofbauer</w:t>
      </w:r>
      <w:r w:rsidRPr="00D25371">
        <w:rPr>
          <w:rFonts w:ascii="Century Schoolbook" w:eastAsia="Times New Roman" w:hAnsi="Century Schoolbook" w:cs="Times New Roman"/>
          <w:color w:val="000000"/>
          <w:sz w:val="28"/>
          <w:szCs w:val="28"/>
        </w:rPr>
        <w:t>, 228 F.3d 689, 704–05 (6th Cir. 2000).</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While attorneys are entitled to a presumption that their conduct was reasonable, it is well established that “[t]he failure of an attorney to inform his client of the relevant law clearly satisfies the first prong of the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 xml:space="preserve"> analysis.” </w:t>
      </w:r>
      <w:r w:rsidRPr="00D25371">
        <w:rPr>
          <w:rFonts w:ascii="Century Schoolbook" w:eastAsia="Times New Roman" w:hAnsi="Century Schoolbook" w:cs="Times New Roman"/>
          <w:i/>
          <w:iCs/>
          <w:color w:val="000000"/>
          <w:sz w:val="28"/>
          <w:szCs w:val="28"/>
        </w:rPr>
        <w:t>Byrd v. Skipper</w:t>
      </w:r>
      <w:r w:rsidRPr="00D25371">
        <w:rPr>
          <w:rFonts w:ascii="Century Schoolbook" w:eastAsia="Times New Roman" w:hAnsi="Century Schoolbook" w:cs="Times New Roman"/>
          <w:color w:val="000000"/>
          <w:sz w:val="28"/>
          <w:szCs w:val="28"/>
        </w:rPr>
        <w:t xml:space="preserve">, 940 F.3d 248, 258 (6th Cir. 2019) (quoting </w:t>
      </w:r>
      <w:r w:rsidRPr="00D25371">
        <w:rPr>
          <w:rFonts w:ascii="Century Schoolbook" w:eastAsia="Times New Roman" w:hAnsi="Century Schoolbook" w:cs="Times New Roman"/>
          <w:i/>
          <w:iCs/>
          <w:color w:val="000000"/>
          <w:sz w:val="28"/>
          <w:szCs w:val="28"/>
        </w:rPr>
        <w:t>Hill v. Lockhart</w:t>
      </w:r>
      <w:r w:rsidRPr="00D25371">
        <w:rPr>
          <w:rFonts w:ascii="Century Schoolbook" w:eastAsia="Times New Roman" w:hAnsi="Century Schoolbook" w:cs="Times New Roman"/>
          <w:color w:val="000000"/>
          <w:sz w:val="28"/>
          <w:szCs w:val="28"/>
        </w:rPr>
        <w:t xml:space="preserve">, 474 U.S. 52, 62 (1985)); </w:t>
      </w:r>
      <w:r w:rsidRPr="00D25371">
        <w:rPr>
          <w:rFonts w:ascii="Century Schoolbook" w:eastAsia="Times New Roman" w:hAnsi="Century Schoolbook" w:cs="Times New Roman"/>
          <w:i/>
          <w:iCs/>
          <w:color w:val="000000"/>
          <w:sz w:val="28"/>
          <w:szCs w:val="28"/>
        </w:rPr>
        <w:t>see also Strickland</w:t>
      </w:r>
      <w:r w:rsidRPr="00D25371">
        <w:rPr>
          <w:rFonts w:ascii="Century Schoolbook" w:eastAsia="Times New Roman" w:hAnsi="Century Schoolbook" w:cs="Times New Roman"/>
          <w:color w:val="000000"/>
          <w:sz w:val="28"/>
          <w:szCs w:val="28"/>
        </w:rPr>
        <w:t>, 466 U.S. at 689 (discussing presumption that counsel acted within accepted range of conduct).</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lastRenderedPageBreak/>
        <w:t xml:space="preserve">An attorney’s failure to provide guidance or correct advice regarding possible sentences a defendant faces has supported a finding of objectively ineffective assistance in the Sixth Circuit. </w:t>
      </w:r>
      <w:r w:rsidRPr="00D25371">
        <w:rPr>
          <w:rFonts w:ascii="Century Schoolbook" w:eastAsia="Times New Roman" w:hAnsi="Century Schoolbook" w:cs="Times New Roman"/>
          <w:i/>
          <w:iCs/>
          <w:color w:val="000000"/>
          <w:sz w:val="28"/>
          <w:szCs w:val="28"/>
        </w:rPr>
        <w:t>Smith v. United</w:t>
      </w:r>
    </w:p>
    <w:p w:rsidR="00D25371" w:rsidRPr="00D25371" w:rsidRDefault="00D25371" w:rsidP="00D25371">
      <w:pPr>
        <w:spacing w:after="0" w:line="480" w:lineRule="auto"/>
        <w:jc w:val="both"/>
        <w:rPr>
          <w:rFonts w:ascii="Times New Roman" w:eastAsia="Times New Roman" w:hAnsi="Times New Roman" w:cs="Times New Roman"/>
          <w:sz w:val="24"/>
          <w:szCs w:val="24"/>
        </w:rPr>
      </w:pPr>
      <w:r w:rsidRPr="00D25371">
        <w:rPr>
          <w:rFonts w:ascii="Century Schoolbook" w:eastAsia="Times New Roman" w:hAnsi="Century Schoolbook" w:cs="Times New Roman"/>
          <w:i/>
          <w:iCs/>
          <w:color w:val="000000"/>
          <w:sz w:val="28"/>
          <w:szCs w:val="28"/>
        </w:rPr>
        <w:t>States</w:t>
      </w:r>
      <w:r w:rsidRPr="00D25371">
        <w:rPr>
          <w:rFonts w:ascii="Century Schoolbook" w:eastAsia="Times New Roman" w:hAnsi="Century Schoolbook" w:cs="Times New Roman"/>
          <w:color w:val="000000"/>
          <w:sz w:val="28"/>
          <w:szCs w:val="28"/>
        </w:rPr>
        <w:t xml:space="preserve">, 348 F.3d 545, 553–54 (6th Cir. 2003) (citing </w:t>
      </w:r>
      <w:r w:rsidRPr="00D25371">
        <w:rPr>
          <w:rFonts w:ascii="Century Schoolbook" w:eastAsia="Times New Roman" w:hAnsi="Century Schoolbook" w:cs="Times New Roman"/>
          <w:i/>
          <w:iCs/>
          <w:color w:val="000000"/>
          <w:sz w:val="28"/>
          <w:szCs w:val="28"/>
        </w:rPr>
        <w:t>Moss v. United States</w:t>
      </w:r>
      <w:r w:rsidRPr="00D25371">
        <w:rPr>
          <w:rFonts w:ascii="Century Schoolbook" w:eastAsia="Times New Roman" w:hAnsi="Century Schoolbook" w:cs="Times New Roman"/>
          <w:color w:val="000000"/>
          <w:sz w:val="28"/>
          <w:szCs w:val="28"/>
        </w:rPr>
        <w:t xml:space="preserve">, 323 F.3d 445, 474 (6th Cir. 2003); </w:t>
      </w:r>
      <w:r w:rsidRPr="00D25371">
        <w:rPr>
          <w:rFonts w:ascii="Century Schoolbook" w:eastAsia="Times New Roman" w:hAnsi="Century Schoolbook" w:cs="Times New Roman"/>
          <w:i/>
          <w:iCs/>
          <w:color w:val="000000"/>
          <w:sz w:val="28"/>
          <w:szCs w:val="28"/>
        </w:rPr>
        <w:t>Magana v. Hofbauer</w:t>
      </w:r>
      <w:r w:rsidRPr="00D25371">
        <w:rPr>
          <w:rFonts w:ascii="Century Schoolbook" w:eastAsia="Times New Roman" w:hAnsi="Century Schoolbook" w:cs="Times New Roman"/>
          <w:color w:val="000000"/>
          <w:sz w:val="28"/>
          <w:szCs w:val="28"/>
        </w:rPr>
        <w:t xml:space="preserve">, 263 F.3d 542, 550 (6th Cir. 2001); </w:t>
      </w:r>
      <w:r w:rsidRPr="00D25371">
        <w:rPr>
          <w:rFonts w:ascii="Century Schoolbook" w:eastAsia="Times New Roman" w:hAnsi="Century Schoolbook" w:cs="Times New Roman"/>
          <w:i/>
          <w:iCs/>
          <w:color w:val="000000"/>
          <w:sz w:val="28"/>
          <w:szCs w:val="28"/>
        </w:rPr>
        <w:t>U.S. v. Day</w:t>
      </w:r>
      <w:r w:rsidRPr="00D25371">
        <w:rPr>
          <w:rFonts w:ascii="Century Schoolbook" w:eastAsia="Times New Roman" w:hAnsi="Century Schoolbook" w:cs="Times New Roman"/>
          <w:color w:val="000000"/>
          <w:sz w:val="28"/>
          <w:szCs w:val="28"/>
        </w:rPr>
        <w:t>, 969 F.2d 39, 43 (3d Cir. 1992)).</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Like the attorney in </w:t>
      </w:r>
      <w:r w:rsidRPr="00D25371">
        <w:rPr>
          <w:rFonts w:ascii="Century Schoolbook" w:eastAsia="Times New Roman" w:hAnsi="Century Schoolbook" w:cs="Times New Roman"/>
          <w:i/>
          <w:iCs/>
          <w:color w:val="000000"/>
          <w:sz w:val="28"/>
          <w:szCs w:val="28"/>
        </w:rPr>
        <w:t>Byrd</w:t>
      </w:r>
      <w:r w:rsidRPr="00D25371">
        <w:rPr>
          <w:rFonts w:ascii="Century Schoolbook" w:eastAsia="Times New Roman" w:hAnsi="Century Schoolbook" w:cs="Times New Roman"/>
          <w:color w:val="000000"/>
          <w:sz w:val="28"/>
          <w:szCs w:val="28"/>
        </w:rPr>
        <w:t xml:space="preserve">, Manning never informed Hosseinipour of the elements of the offenses with which she was charged, nor did he tell Hosseinipour what evidence the government had against her, nor did he analyze the sufficiency of such evidence. (R.578-1, #5418). Also, like </w:t>
      </w:r>
      <w:r w:rsidRPr="00D25371">
        <w:rPr>
          <w:rFonts w:ascii="Century Schoolbook" w:eastAsia="Times New Roman" w:hAnsi="Century Schoolbook" w:cs="Times New Roman"/>
          <w:i/>
          <w:iCs/>
          <w:color w:val="000000"/>
          <w:sz w:val="28"/>
          <w:szCs w:val="28"/>
        </w:rPr>
        <w:t>Byrd</w:t>
      </w:r>
      <w:r w:rsidRPr="00D25371">
        <w:rPr>
          <w:rFonts w:ascii="Century Schoolbook" w:eastAsia="Times New Roman" w:hAnsi="Century Schoolbook" w:cs="Times New Roman"/>
          <w:color w:val="000000"/>
          <w:sz w:val="28"/>
          <w:szCs w:val="28"/>
        </w:rPr>
        <w:t>, Manning never reviewed the sentencing guidelines with her or discussed concepts like amount of loss, enhancements, departure, variances, or guilty pleas. Specifically, Manning never explained that the government’s amount of loss theory would skew the potential guideline ranges. Nor did Manning explain that a conviction may also result in other guideline enhancements. He also failed to explain that she would lose any potential credit for acceptance of responsibility.</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Hosseinipour was entitled to receive this information from her attorney at the outset of their relationship. Instead, and again, much </w:t>
      </w:r>
      <w:r w:rsidRPr="00D25371">
        <w:rPr>
          <w:rFonts w:ascii="Century Schoolbook" w:eastAsia="Times New Roman" w:hAnsi="Century Schoolbook" w:cs="Times New Roman"/>
          <w:color w:val="000000"/>
          <w:sz w:val="28"/>
          <w:szCs w:val="28"/>
        </w:rPr>
        <w:lastRenderedPageBreak/>
        <w:t xml:space="preserve">like the attorney in </w:t>
      </w:r>
      <w:r w:rsidRPr="00D25371">
        <w:rPr>
          <w:rFonts w:ascii="Century Schoolbook" w:eastAsia="Times New Roman" w:hAnsi="Century Schoolbook" w:cs="Times New Roman"/>
          <w:i/>
          <w:iCs/>
          <w:color w:val="000000"/>
          <w:sz w:val="28"/>
          <w:szCs w:val="28"/>
        </w:rPr>
        <w:t>Byrd</w:t>
      </w:r>
      <w:r w:rsidRPr="00D25371">
        <w:rPr>
          <w:rFonts w:ascii="Century Schoolbook" w:eastAsia="Times New Roman" w:hAnsi="Century Schoolbook" w:cs="Times New Roman"/>
          <w:color w:val="000000"/>
          <w:sz w:val="28"/>
          <w:szCs w:val="28"/>
        </w:rPr>
        <w:t xml:space="preserve">, Manning let Hosseinipour spend years under the false impression that the charges against her would be dropped. He never suggested that trial, a guilty verdict, or jail were possible until trial was imminent, Hosseinipour was without a developed defense, and Manning was scared she would fire him. Then, at that point, yet again mirroring the deficient representation found in </w:t>
      </w:r>
      <w:r w:rsidRPr="00D25371">
        <w:rPr>
          <w:rFonts w:ascii="Century Schoolbook" w:eastAsia="Times New Roman" w:hAnsi="Century Schoolbook" w:cs="Times New Roman"/>
          <w:i/>
          <w:iCs/>
          <w:color w:val="000000"/>
          <w:sz w:val="28"/>
          <w:szCs w:val="28"/>
        </w:rPr>
        <w:t>Byrd</w:t>
      </w:r>
      <w:r w:rsidRPr="00D25371">
        <w:rPr>
          <w:rFonts w:ascii="Century Schoolbook" w:eastAsia="Times New Roman" w:hAnsi="Century Schoolbook" w:cs="Times New Roman"/>
          <w:color w:val="000000"/>
          <w:sz w:val="28"/>
          <w:szCs w:val="28"/>
        </w:rPr>
        <w:t>, Manning ignored Hosseinipour’s interest in pleading guilty.</w:t>
      </w:r>
    </w:p>
    <w:p w:rsidR="00D25371" w:rsidRPr="00D25371" w:rsidRDefault="00D25371" w:rsidP="00D25371">
      <w:pPr>
        <w:spacing w:after="0" w:line="480" w:lineRule="auto"/>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ab/>
        <w:t xml:space="preserve">Courts also find the “failure to perform legal research to be ineffective performance by an attorney.” </w:t>
      </w:r>
      <w:r w:rsidRPr="00D25371">
        <w:rPr>
          <w:rFonts w:ascii="Century Schoolbook" w:eastAsia="Times New Roman" w:hAnsi="Century Schoolbook" w:cs="Times New Roman"/>
          <w:i/>
          <w:iCs/>
          <w:color w:val="000000"/>
          <w:sz w:val="28"/>
          <w:szCs w:val="28"/>
        </w:rPr>
        <w:t>United States v. Lopez-Chavez</w:t>
      </w:r>
      <w:r w:rsidRPr="00D25371">
        <w:rPr>
          <w:rFonts w:ascii="Century Schoolbook" w:eastAsia="Times New Roman" w:hAnsi="Century Schoolbook" w:cs="Times New Roman"/>
          <w:color w:val="000000"/>
          <w:sz w:val="28"/>
          <w:szCs w:val="28"/>
        </w:rPr>
        <w:t xml:space="preserve">, 757 F.3d 1033, 1041 (9th Cir. 2014); </w:t>
      </w:r>
      <w:r w:rsidRPr="00D25371">
        <w:rPr>
          <w:rFonts w:ascii="Century Schoolbook" w:eastAsia="Times New Roman" w:hAnsi="Century Schoolbook" w:cs="Times New Roman"/>
          <w:i/>
          <w:iCs/>
          <w:color w:val="000000"/>
          <w:sz w:val="28"/>
          <w:szCs w:val="28"/>
        </w:rPr>
        <w:t>Howard v. United States</w:t>
      </w:r>
      <w:r w:rsidRPr="00D25371">
        <w:rPr>
          <w:rFonts w:ascii="Century Schoolbook" w:eastAsia="Times New Roman" w:hAnsi="Century Schoolbook" w:cs="Times New Roman"/>
          <w:color w:val="000000"/>
          <w:sz w:val="28"/>
          <w:szCs w:val="28"/>
        </w:rPr>
        <w:t>, 743 F.3d 459, 468 (6th Cir. 2014)(“Counsel cannot blunder into court without having performed basic research and preparation.”). Here, Manning did not have access to a paid legal research service and did no legal research. His briefs include no cases except for ones he copied from other briefs. Plagiarism cannot make up for a lack of research and preparation.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After a defendant establishes her counsel failed to meet the objective standard of reasonableness, she must also “show that there is a reasonable probability that, but for counsel’s unprofessional errors, </w:t>
      </w:r>
      <w:r w:rsidRPr="00D25371">
        <w:rPr>
          <w:rFonts w:ascii="Century Schoolbook" w:eastAsia="Times New Roman" w:hAnsi="Century Schoolbook" w:cs="Times New Roman"/>
          <w:color w:val="000000"/>
          <w:sz w:val="28"/>
          <w:szCs w:val="28"/>
        </w:rPr>
        <w:lastRenderedPageBreak/>
        <w:t xml:space="preserve">the result of the proceeding would have been different.” </w:t>
      </w:r>
      <w:r w:rsidRPr="00D25371">
        <w:rPr>
          <w:rFonts w:ascii="Century Schoolbook" w:eastAsia="Times New Roman" w:hAnsi="Century Schoolbook" w:cs="Times New Roman"/>
          <w:i/>
          <w:iCs/>
          <w:color w:val="000000"/>
          <w:sz w:val="28"/>
          <w:szCs w:val="28"/>
        </w:rPr>
        <w:t>Strickland</w:t>
      </w:r>
      <w:r w:rsidRPr="00D25371">
        <w:rPr>
          <w:rFonts w:ascii="Century Schoolbook" w:eastAsia="Times New Roman" w:hAnsi="Century Schoolbook" w:cs="Times New Roman"/>
          <w:color w:val="000000"/>
          <w:sz w:val="28"/>
          <w:szCs w:val="28"/>
        </w:rPr>
        <w:t xml:space="preserve">, 466 U.S. at 694. A “reasonable probability” is a probability sufficient to undermine confidence in the outcome. </w:t>
      </w:r>
      <w:r w:rsidRPr="00D25371">
        <w:rPr>
          <w:rFonts w:ascii="Century Schoolbook" w:eastAsia="Times New Roman" w:hAnsi="Century Schoolbook" w:cs="Times New Roman"/>
          <w:i/>
          <w:iCs/>
          <w:color w:val="000000"/>
          <w:sz w:val="28"/>
          <w:szCs w:val="28"/>
        </w:rPr>
        <w:t>Id.</w:t>
      </w:r>
      <w:r w:rsidRPr="00D25371">
        <w:rPr>
          <w:rFonts w:ascii="Century Schoolbook" w:eastAsia="Times New Roman" w:hAnsi="Century Schoolbook" w:cs="Times New Roman"/>
          <w:color w:val="000000"/>
          <w:sz w:val="28"/>
          <w:szCs w:val="28"/>
        </w:rPr>
        <w:t xml:space="preserve"> “[T]he essential question is whether better lawyering would have produced a better result.” </w:t>
      </w:r>
      <w:r w:rsidRPr="00D25371">
        <w:rPr>
          <w:rFonts w:ascii="Century Schoolbook" w:eastAsia="Times New Roman" w:hAnsi="Century Schoolbook" w:cs="Times New Roman"/>
          <w:i/>
          <w:iCs/>
          <w:color w:val="000000"/>
          <w:sz w:val="28"/>
          <w:szCs w:val="28"/>
        </w:rPr>
        <w:t>Ward v. United States</w:t>
      </w:r>
      <w:r w:rsidRPr="00D25371">
        <w:rPr>
          <w:rFonts w:ascii="Century Schoolbook" w:eastAsia="Times New Roman" w:hAnsi="Century Schoolbook" w:cs="Times New Roman"/>
          <w:color w:val="000000"/>
          <w:sz w:val="28"/>
          <w:szCs w:val="28"/>
        </w:rPr>
        <w:t>, 995 F.2d 1317, 1321 (6th Cir. 1993). Here, Hosseinipour would have had a different result with experienced, competent, professional counsel.</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The prejudice is apparent. Prejudice can be presumed. The Supreme Court permits the presumption of prejudice where there was a “complete denial of counsel.” </w:t>
      </w:r>
      <w:r w:rsidRPr="00D25371">
        <w:rPr>
          <w:rFonts w:ascii="Century Schoolbook" w:eastAsia="Times New Roman" w:hAnsi="Century Schoolbook" w:cs="Times New Roman"/>
          <w:i/>
          <w:iCs/>
          <w:color w:val="000000"/>
          <w:sz w:val="28"/>
          <w:szCs w:val="28"/>
        </w:rPr>
        <w:t>Bell v. Cone</w:t>
      </w:r>
      <w:r w:rsidRPr="00D25371">
        <w:rPr>
          <w:rFonts w:ascii="Century Schoolbook" w:eastAsia="Times New Roman" w:hAnsi="Century Schoolbook" w:cs="Times New Roman"/>
          <w:color w:val="000000"/>
          <w:sz w:val="28"/>
          <w:szCs w:val="28"/>
        </w:rPr>
        <w:t xml:space="preserve">, 535 U.S. 685, 695 (2002). Here, Hosseinipour was never advised of the elements of the crimes she was charged, never received sentencing information, was not apprised of the evidence the Government had against her, and was represented by an attorney who did not understand how the plea bargain process worked despite the fact that more than 95% of defendants plead. Additionally, going into trial, counsel for Hosseinipour failed to review the evidence and did not perform legal research regarding the elements of a pyramid scheme. This was a complex case where research was paramount. Conspiracy to commit securities fraud was charged, and </w:t>
      </w:r>
      <w:r w:rsidRPr="00D25371">
        <w:rPr>
          <w:rFonts w:ascii="Century Schoolbook" w:eastAsia="Times New Roman" w:hAnsi="Century Schoolbook" w:cs="Times New Roman"/>
          <w:color w:val="000000"/>
          <w:sz w:val="28"/>
          <w:szCs w:val="28"/>
        </w:rPr>
        <w:lastRenderedPageBreak/>
        <w:t>Hosseinipour’s counsel did not understand the difference between securities law and secured transactions. (R.691, #9766).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As has been explained, Hosseinipour had no defense because her counsel did provide her one. Hosseinipour’s counsel did not meaningfully subject the Government’s case to an adversarial test.</w:t>
      </w:r>
      <w:r w:rsidRPr="00D25371">
        <w:rPr>
          <w:rFonts w:ascii="Century Schoolbook" w:eastAsia="Times New Roman" w:hAnsi="Century Schoolbook" w:cs="Times New Roman"/>
          <w:i/>
          <w:iCs/>
          <w:color w:val="000000"/>
          <w:sz w:val="28"/>
          <w:szCs w:val="28"/>
        </w:rPr>
        <w:t xml:space="preserve"> Bell</w:t>
      </w:r>
      <w:r w:rsidRPr="00D25371">
        <w:rPr>
          <w:rFonts w:ascii="Century Schoolbook" w:eastAsia="Times New Roman" w:hAnsi="Century Schoolbook" w:cs="Times New Roman"/>
          <w:color w:val="000000"/>
          <w:sz w:val="28"/>
          <w:szCs w:val="28"/>
        </w:rPr>
        <w:t>, 535 U.S. at 695.  Hosseinipour’s counsel focused on charging decisions and brought in extraneous information that was not exculpatory and hurt Hosseinipour more than it helped. This also allows for prejudice to be presumed.</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Even if it is not presumed, Hosseinipour was prejudiced. A plea deal that would result in no prison sentence was rejected and the prosecutor’s repeated inquiries about whether Hosseinipour would accept a plea offer were not communicated to her after the March Meeting; Manning also ignored her requests to contact the prosecution about a deal. (R.578-1 ¶¶ 38–40.) Manning’s failure to provide informed legal advice prevented Hosseinipour from accepting a deal without prison time. (R.578-2, ¶ 18.)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In the context of plea bargaining, the second prong of the </w:t>
      </w:r>
      <w:r w:rsidRPr="00D25371">
        <w:rPr>
          <w:rFonts w:ascii="Century Schoolbook" w:eastAsia="Times New Roman" w:hAnsi="Century Schoolbook" w:cs="Times New Roman"/>
          <w:i/>
          <w:iCs/>
          <w:color w:val="000000"/>
          <w:sz w:val="28"/>
          <w:szCs w:val="28"/>
        </w:rPr>
        <w:t xml:space="preserve">Strickland </w:t>
      </w:r>
      <w:r w:rsidRPr="00D25371">
        <w:rPr>
          <w:rFonts w:ascii="Century Schoolbook" w:eastAsia="Times New Roman" w:hAnsi="Century Schoolbook" w:cs="Times New Roman"/>
          <w:color w:val="000000"/>
          <w:sz w:val="28"/>
          <w:szCs w:val="28"/>
        </w:rPr>
        <w:t xml:space="preserve">test requires a defendant show a “reasonable probability </w:t>
      </w:r>
      <w:r w:rsidRPr="00D25371">
        <w:rPr>
          <w:rFonts w:ascii="Century Schoolbook" w:eastAsia="Times New Roman" w:hAnsi="Century Schoolbook" w:cs="Times New Roman"/>
          <w:color w:val="000000"/>
          <w:sz w:val="28"/>
          <w:szCs w:val="28"/>
        </w:rPr>
        <w:lastRenderedPageBreak/>
        <w:t xml:space="preserve">that the plea offer would have been presented to the court (i.e., that the defendant would have accepted the plea and the prosecution would not have withdrawn it in light of intervening circumstances), that the court would have accepted its terms, and that the conviction or sentence, or both, under the offer’s terms would have been less severe than under the judgment and sentence that in fact were imposed.” </w:t>
      </w:r>
      <w:r w:rsidRPr="00D25371">
        <w:rPr>
          <w:rFonts w:ascii="Century Schoolbook" w:eastAsia="Times New Roman" w:hAnsi="Century Schoolbook" w:cs="Times New Roman"/>
          <w:i/>
          <w:iCs/>
          <w:color w:val="000000"/>
          <w:sz w:val="28"/>
          <w:szCs w:val="28"/>
        </w:rPr>
        <w:t>Lafler v. Cooper</w:t>
      </w:r>
      <w:r w:rsidRPr="00D25371">
        <w:rPr>
          <w:rFonts w:ascii="Century Schoolbook" w:eastAsia="Times New Roman" w:hAnsi="Century Schoolbook" w:cs="Times New Roman"/>
          <w:color w:val="000000"/>
          <w:sz w:val="28"/>
          <w:szCs w:val="28"/>
        </w:rPr>
        <w:t xml:space="preserve">, 566 U.S. 156, 162–64 (2012). An attorney’s failure to provide information about possible sentence exposure supports a finding that a defendant was not able to make an intelligent decision about whether to enter into a plea deal, and thus that the results of the proceeding would have been different but for the ineffective assistance of counsel. </w:t>
      </w:r>
      <w:r w:rsidRPr="00D25371">
        <w:rPr>
          <w:rFonts w:ascii="Century Schoolbook" w:eastAsia="Times New Roman" w:hAnsi="Century Schoolbook" w:cs="Times New Roman"/>
          <w:i/>
          <w:iCs/>
          <w:color w:val="000000"/>
          <w:sz w:val="28"/>
          <w:szCs w:val="28"/>
        </w:rPr>
        <w:t>Id.</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Importantly, a defendant’s knowledge of a plea offer, assertions of innocence, and predisposition to reject a plea are not enough to establish that a defendant would not have accepted a plea. </w:t>
      </w:r>
      <w:r w:rsidRPr="00D25371">
        <w:rPr>
          <w:rFonts w:ascii="Century Schoolbook" w:eastAsia="Times New Roman" w:hAnsi="Century Schoolbook" w:cs="Times New Roman"/>
          <w:i/>
          <w:iCs/>
          <w:color w:val="000000"/>
          <w:sz w:val="28"/>
          <w:szCs w:val="28"/>
        </w:rPr>
        <w:t>Smith v. United States</w:t>
      </w:r>
      <w:r w:rsidRPr="00D25371">
        <w:rPr>
          <w:rFonts w:ascii="Century Schoolbook" w:eastAsia="Times New Roman" w:hAnsi="Century Schoolbook" w:cs="Times New Roman"/>
          <w:color w:val="000000"/>
          <w:sz w:val="28"/>
          <w:szCs w:val="28"/>
        </w:rPr>
        <w:t xml:space="preserve">, 348 F.3d 545, 551–53 (6th Cir. 2003). Even more, the Sixth Circuit has held that a defendant’s professions of her innocence and desire to be acquitted especially do not support a finding that the defendant would not have pled guilty when the defendant was misinformed by counsel’s “faulty advice,” since the defendant has no </w:t>
      </w:r>
      <w:r w:rsidRPr="00D25371">
        <w:rPr>
          <w:rFonts w:ascii="Century Schoolbook" w:eastAsia="Times New Roman" w:hAnsi="Century Schoolbook" w:cs="Times New Roman"/>
          <w:color w:val="000000"/>
          <w:sz w:val="28"/>
          <w:szCs w:val="28"/>
        </w:rPr>
        <w:lastRenderedPageBreak/>
        <w:t xml:space="preserve">reliable metric to assess the possible outcomes of pleading guilty or going to trial. </w:t>
      </w:r>
      <w:r w:rsidRPr="00D25371">
        <w:rPr>
          <w:rFonts w:ascii="Century Schoolbook" w:eastAsia="Times New Roman" w:hAnsi="Century Schoolbook" w:cs="Times New Roman"/>
          <w:i/>
          <w:iCs/>
          <w:color w:val="000000"/>
          <w:sz w:val="28"/>
          <w:szCs w:val="28"/>
        </w:rPr>
        <w:t>Byrd v. Skipper</w:t>
      </w:r>
      <w:r w:rsidRPr="00D25371">
        <w:rPr>
          <w:rFonts w:ascii="Century Schoolbook" w:eastAsia="Times New Roman" w:hAnsi="Century Schoolbook" w:cs="Times New Roman"/>
          <w:color w:val="000000"/>
          <w:sz w:val="28"/>
          <w:szCs w:val="28"/>
        </w:rPr>
        <w:t xml:space="preserve">, 940 F.3d 248, 258–59 (6th Cir. 2019). Here, Hosseinipour did not receive the information that her counsel was required to provide her. Instead, she was told she could not plead because that would be perjury. If she had plead guilty, she likely would have </w:t>
      </w:r>
      <w:r w:rsidRPr="00D25371">
        <w:rPr>
          <w:rFonts w:ascii="Century Schoolbook" w:eastAsia="Times New Roman" w:hAnsi="Century Schoolbook" w:cs="Times New Roman"/>
          <w:color w:val="000000"/>
          <w:sz w:val="28"/>
          <w:szCs w:val="28"/>
          <w:shd w:val="clear" w:color="auto" w:fill="FFFF00"/>
        </w:rPr>
        <w:t>received</w:t>
      </w:r>
      <w:r w:rsidRPr="00D25371">
        <w:rPr>
          <w:rFonts w:ascii="Century Schoolbook" w:eastAsia="Times New Roman" w:hAnsi="Century Schoolbook" w:cs="Times New Roman"/>
          <w:color w:val="000000"/>
          <w:sz w:val="28"/>
          <w:szCs w:val="28"/>
        </w:rPr>
        <w:t xml:space="preserve"> probation. At minimum, she would have received a shorter sentence. Thus, she was prejudiced.</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“The right of a defendant to testify at trial is a constitutional right of fundamental dimension and is subject only to a knowing and voluntary waiver by the defendant.” </w:t>
      </w:r>
      <w:r w:rsidRPr="00D25371">
        <w:rPr>
          <w:rFonts w:ascii="Century Schoolbook" w:eastAsia="Times New Roman" w:hAnsi="Century Schoolbook" w:cs="Times New Roman"/>
          <w:i/>
          <w:iCs/>
          <w:color w:val="000000"/>
          <w:sz w:val="28"/>
          <w:szCs w:val="28"/>
        </w:rPr>
        <w:t>United States v. Webber</w:t>
      </w:r>
      <w:r w:rsidRPr="00D25371">
        <w:rPr>
          <w:rFonts w:ascii="Century Schoolbook" w:eastAsia="Times New Roman" w:hAnsi="Century Schoolbook" w:cs="Times New Roman"/>
          <w:color w:val="000000"/>
          <w:sz w:val="28"/>
          <w:szCs w:val="28"/>
        </w:rPr>
        <w:t xml:space="preserve">, 208 F.3d 545, 550 (6th Cir. 2000). “The defense counsel's role is to advise the defendant whether or not the defendant should take the stand, but it is for the defendant, ultimately, to decide.” </w:t>
      </w:r>
      <w:r w:rsidRPr="00D25371">
        <w:rPr>
          <w:rFonts w:ascii="Century Schoolbook" w:eastAsia="Times New Roman" w:hAnsi="Century Schoolbook" w:cs="Times New Roman"/>
          <w:i/>
          <w:iCs/>
          <w:color w:val="000000"/>
          <w:sz w:val="28"/>
          <w:szCs w:val="28"/>
        </w:rPr>
        <w:t>Id.</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Here, the court instructed Hosseinipour and her counsel that Hosseinipour’s counsel was “driving the boat” as it relates to whether Hosseinipour would testify. (R.700, #10681). Thus, the court improperly interfered with Hosseinipour’s right to testify and chilled the exercise of that right as Hosseinipour was led to believe that her trial counsel could make the final call.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lastRenderedPageBreak/>
        <w:t>The court was on notice that Hosseinipour “definitely says she’s testifying… no matter what I tell her, she’s not going to listen to me about it.” (R.700, #10681). Thus, it had an independent duty to inquire about whether Hosseinipour wanted to testify. The court’s failure to confirm whether Hosseinipour wanted to testify after being told that she did further supports reversal. Hosseinipour was deprived the chance to provide exculpatory testimony, and there is a reasonable probability that she would not have been convicted if the jury could have heard from her.</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It was the court’s impression that without Anzalone’s testimony, “these convictions might not have happened.” (R.675, #7855). Anzalone was the critical witness. The Government called him “invaluable.” (</w:t>
      </w:r>
      <w:r w:rsidRPr="00D25371">
        <w:rPr>
          <w:rFonts w:ascii="Century Schoolbook" w:eastAsia="Times New Roman" w:hAnsi="Century Schoolbook" w:cs="Times New Roman"/>
          <w:i/>
          <w:iCs/>
          <w:color w:val="000000"/>
          <w:sz w:val="28"/>
          <w:szCs w:val="28"/>
        </w:rPr>
        <w:t>Id.</w:t>
      </w:r>
      <w:r w:rsidRPr="00D25371">
        <w:rPr>
          <w:rFonts w:ascii="Century Schoolbook" w:eastAsia="Times New Roman" w:hAnsi="Century Schoolbook" w:cs="Times New Roman"/>
          <w:color w:val="000000"/>
          <w:sz w:val="28"/>
          <w:szCs w:val="28"/>
        </w:rPr>
        <w:t xml:space="preserve"> at #7857). The court </w:t>
      </w:r>
      <w:r w:rsidRPr="00D25371">
        <w:rPr>
          <w:rFonts w:ascii="Century Schoolbook" w:eastAsia="Times New Roman" w:hAnsi="Century Schoolbook" w:cs="Times New Roman"/>
          <w:color w:val="000000"/>
          <w:sz w:val="28"/>
          <w:szCs w:val="28"/>
          <w:shd w:val="clear" w:color="auto" w:fill="FFFF00"/>
        </w:rPr>
        <w:t>may have no other findings</w:t>
      </w:r>
      <w:r w:rsidRPr="00D25371">
        <w:rPr>
          <w:rFonts w:ascii="Century Schoolbook" w:eastAsia="Times New Roman" w:hAnsi="Century Schoolbook" w:cs="Times New Roman"/>
          <w:color w:val="000000"/>
          <w:sz w:val="28"/>
          <w:szCs w:val="28"/>
        </w:rPr>
        <w:t xml:space="preserve"> as to the evidence against Hosseinipour. (</w:t>
      </w:r>
      <w:r w:rsidRPr="00D25371">
        <w:rPr>
          <w:rFonts w:ascii="Century Schoolbook" w:eastAsia="Times New Roman" w:hAnsi="Century Schoolbook" w:cs="Times New Roman"/>
          <w:i/>
          <w:iCs/>
          <w:color w:val="000000"/>
          <w:sz w:val="28"/>
          <w:szCs w:val="28"/>
        </w:rPr>
        <w:t>See</w:t>
      </w:r>
      <w:r w:rsidRPr="00D25371">
        <w:rPr>
          <w:rFonts w:ascii="Century Schoolbook" w:eastAsia="Times New Roman" w:hAnsi="Century Schoolbook" w:cs="Times New Roman"/>
          <w:color w:val="000000"/>
          <w:sz w:val="28"/>
          <w:szCs w:val="28"/>
        </w:rPr>
        <w:t xml:space="preserve"> R. 630, #6167). The Government misused Anzalone’s guilty plea to prove Hosseinipour’s guilt. With effective counsel, Hosseinipour could have prevented the Government from using Anzalone’s guilty plea as substantive evidence and equating Anzalone’s guilt with Hosseinipour’s guilt. Further, Hosseinipour wrote out 150 questions to ask Anzalone, and Manning did not use them. He </w:t>
      </w:r>
      <w:r w:rsidRPr="00D25371">
        <w:rPr>
          <w:rFonts w:ascii="Century Schoolbook" w:eastAsia="Times New Roman" w:hAnsi="Century Schoolbook" w:cs="Times New Roman"/>
          <w:color w:val="000000"/>
          <w:sz w:val="28"/>
          <w:szCs w:val="28"/>
        </w:rPr>
        <w:lastRenderedPageBreak/>
        <w:t>recognized that there were questions he did not ask. Overall, Anzalone’s testimony was relatively favorable as he said that Hosseinipour did not intend to hurt anyone, and he did not know they were do anything wrong. A better lawyer could have built a defense from his exculpatory statements. Additionally, there were numerous exhibits entered into evidence where only a snippet of audio was played, but the videos had great exculpatory value. Because Manning struggled with the technology and did not have a strategy, he did not use those to prove Hosseinipour’s innocence. (</w:t>
      </w:r>
      <w:r w:rsidRPr="00D25371">
        <w:rPr>
          <w:rFonts w:ascii="Century Schoolbook" w:eastAsia="Times New Roman" w:hAnsi="Century Schoolbook" w:cs="Times New Roman"/>
          <w:i/>
          <w:iCs/>
          <w:color w:val="000000"/>
          <w:sz w:val="28"/>
          <w:szCs w:val="28"/>
        </w:rPr>
        <w:t>See</w:t>
      </w:r>
      <w:r w:rsidRPr="00D25371">
        <w:rPr>
          <w:rFonts w:ascii="Century Schoolbook" w:eastAsia="Times New Roman" w:hAnsi="Century Schoolbook" w:cs="Times New Roman"/>
          <w:color w:val="000000"/>
          <w:sz w:val="28"/>
          <w:szCs w:val="28"/>
        </w:rPr>
        <w:t xml:space="preserve"> U.S. Exhibit 155, 20:45-21:00; U.S. Exhibit 144, 20:45-21:21:25; US Exhibit 178, 8:40-8:45; US Exhibit 178, 16:21-16:30). Hosseinipour’s counsel did not retain an expert and did not ask any questions to defense’s expert who rebutted Keep because he failed to get the court’s attention. Additionally, Hosseinipour’s counsel forgot he had a copy of Hosseinipour’s statements to Sauber, so he was never able to use them at trial. Hosseinipour’s counsel could have introduced exculpatory statements from Hosseinipour to support her credibility, and he failed to do so because he forgot about it.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Viewed together, the result would have been different if Hosseinipour received effective counsel. </w:t>
      </w:r>
    </w:p>
    <w:p w:rsidR="00D25371" w:rsidRPr="00D25371" w:rsidRDefault="00D25371" w:rsidP="00D25371">
      <w:pPr>
        <w:spacing w:after="0" w:line="240" w:lineRule="auto"/>
        <w:ind w:hanging="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b/>
          <w:bCs/>
          <w:color w:val="000000"/>
          <w:sz w:val="28"/>
          <w:szCs w:val="28"/>
        </w:rPr>
        <w:lastRenderedPageBreak/>
        <w:t>II.</w:t>
      </w:r>
      <w:r w:rsidRPr="00D25371">
        <w:rPr>
          <w:rFonts w:ascii="Century Schoolbook" w:eastAsia="Times New Roman" w:hAnsi="Century Schoolbook" w:cs="Times New Roman"/>
          <w:b/>
          <w:bCs/>
          <w:color w:val="000000"/>
          <w:sz w:val="28"/>
          <w:szCs w:val="28"/>
        </w:rPr>
        <w:tab/>
        <w:t>THE COURT ABUSED ITS DISCRETION IN DENYING A HEARING.</w:t>
      </w:r>
    </w:p>
    <w:p w:rsidR="00D25371" w:rsidRPr="00D25371" w:rsidRDefault="00D25371" w:rsidP="00D25371">
      <w:pPr>
        <w:spacing w:after="0" w:line="240" w:lineRule="auto"/>
        <w:rPr>
          <w:rFonts w:ascii="Times New Roman" w:eastAsia="Times New Roman" w:hAnsi="Times New Roman" w:cs="Times New Roman"/>
          <w:sz w:val="24"/>
          <w:szCs w:val="24"/>
        </w:rPr>
      </w:pP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At minimum, the court abused its discretion when it denied a motion for a hearing on Hosseinipour’s ineffective-assistance argument. This Court simply “require[s] a defendant to produce at least a modicum of evidence in support of a request for an evidentiary hearing on a motion for a new trial based on ineffective assistance of counsel.” </w:t>
      </w:r>
      <w:r w:rsidRPr="00D25371">
        <w:rPr>
          <w:rFonts w:ascii="Century Schoolbook" w:eastAsia="Times New Roman" w:hAnsi="Century Schoolbook" w:cs="Times New Roman"/>
          <w:i/>
          <w:iCs/>
          <w:color w:val="000000"/>
          <w:sz w:val="28"/>
          <w:szCs w:val="28"/>
        </w:rPr>
        <w:t>United States v. Allen</w:t>
      </w:r>
      <w:r w:rsidRPr="00D25371">
        <w:rPr>
          <w:rFonts w:ascii="Century Schoolbook" w:eastAsia="Times New Roman" w:hAnsi="Century Schoolbook" w:cs="Times New Roman"/>
          <w:color w:val="000000"/>
          <w:sz w:val="28"/>
          <w:szCs w:val="28"/>
        </w:rPr>
        <w:t>, 254 F. App’x 475, 478 (6th Cir. 2007).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The court abused its discretion by denying the motion based on this incorrect finding. A defendant is required to produce only a “modicum of evidence in support of a request for an evidentiary hearing on a motion for a new trial based on ineffective assistance of counsel.” </w:t>
      </w:r>
      <w:r w:rsidRPr="00D25371">
        <w:rPr>
          <w:rFonts w:ascii="Century Schoolbook" w:eastAsia="Times New Roman" w:hAnsi="Century Schoolbook" w:cs="Times New Roman"/>
          <w:i/>
          <w:iCs/>
          <w:color w:val="000000"/>
          <w:sz w:val="28"/>
          <w:szCs w:val="28"/>
        </w:rPr>
        <w:t>United States v. Allen</w:t>
      </w:r>
      <w:r w:rsidRPr="00D25371">
        <w:rPr>
          <w:rFonts w:ascii="Century Schoolbook" w:eastAsia="Times New Roman" w:hAnsi="Century Schoolbook" w:cs="Times New Roman"/>
          <w:color w:val="000000"/>
          <w:sz w:val="28"/>
          <w:szCs w:val="28"/>
        </w:rPr>
        <w:t>, 254 F. App’x 475, 478 (6</w:t>
      </w:r>
      <w:r w:rsidRPr="00D25371">
        <w:rPr>
          <w:rFonts w:ascii="Century Schoolbook" w:eastAsia="Times New Roman" w:hAnsi="Century Schoolbook" w:cs="Times New Roman"/>
          <w:color w:val="000000"/>
          <w:sz w:val="17"/>
          <w:szCs w:val="17"/>
          <w:vertAlign w:val="superscript"/>
        </w:rPr>
        <w:t>th</w:t>
      </w:r>
      <w:r w:rsidRPr="00D25371">
        <w:rPr>
          <w:rFonts w:ascii="Century Schoolbook" w:eastAsia="Times New Roman" w:hAnsi="Century Schoolbook" w:cs="Times New Roman"/>
          <w:color w:val="000000"/>
          <w:sz w:val="28"/>
          <w:szCs w:val="28"/>
        </w:rPr>
        <w:t xml:space="preserve"> Cir. 2007). The three affidavits attached to Hosseinipour’s motion more than meet this hurdle.</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Additionally, the court abuses its discretion when it relies on clearly erroneous facts. Here, the court refused to hold a hearing based on its recollection of the trial and the record. (R.630, #6162, fn.1). The court recalled that it had asked Hosseinipour </w:t>
      </w:r>
      <w:r w:rsidRPr="00D25371">
        <w:rPr>
          <w:rFonts w:ascii="Century Schoolbook" w:eastAsia="Times New Roman" w:hAnsi="Century Schoolbook" w:cs="Times New Roman"/>
          <w:i/>
          <w:iCs/>
          <w:color w:val="000000"/>
          <w:sz w:val="28"/>
          <w:szCs w:val="28"/>
        </w:rPr>
        <w:t>Frye</w:t>
      </w:r>
      <w:r w:rsidRPr="00D25371">
        <w:rPr>
          <w:rFonts w:ascii="Century Schoolbook" w:eastAsia="Times New Roman" w:hAnsi="Century Schoolbook" w:cs="Times New Roman"/>
          <w:color w:val="000000"/>
          <w:sz w:val="28"/>
          <w:szCs w:val="28"/>
        </w:rPr>
        <w:t xml:space="preserve"> questions on the record and that she answered those questions affirmatively. (R.630, </w:t>
      </w:r>
      <w:r w:rsidRPr="00D25371">
        <w:rPr>
          <w:rFonts w:ascii="Century Schoolbook" w:eastAsia="Times New Roman" w:hAnsi="Century Schoolbook" w:cs="Times New Roman"/>
          <w:color w:val="000000"/>
          <w:sz w:val="28"/>
          <w:szCs w:val="28"/>
        </w:rPr>
        <w:lastRenderedPageBreak/>
        <w:t xml:space="preserve">#6164). However, the court did not pose those questions. (R.630, #6164). And, Hosseinipour naturally did not answer those questions. (R.630, #6164). Thus, the denial of the hearing was based on an erroneous finding of fact and necessarily warrants reversal. </w:t>
      </w:r>
      <w:r w:rsidRPr="00D25371">
        <w:rPr>
          <w:rFonts w:ascii="Century Schoolbook" w:eastAsia="Times New Roman" w:hAnsi="Century Schoolbook" w:cs="Times New Roman"/>
          <w:i/>
          <w:iCs/>
          <w:color w:val="000000"/>
          <w:sz w:val="28"/>
          <w:szCs w:val="28"/>
        </w:rPr>
        <w:t>See United States v. Jones</w:t>
      </w:r>
      <w:r w:rsidRPr="00D25371">
        <w:rPr>
          <w:rFonts w:ascii="Century Schoolbook" w:eastAsia="Times New Roman" w:hAnsi="Century Schoolbook" w:cs="Times New Roman"/>
          <w:color w:val="000000"/>
          <w:sz w:val="28"/>
          <w:szCs w:val="28"/>
        </w:rPr>
        <w:t>, 980 F.3d 1098, 1112 (6th Cir. 2020)(“A district court would necessarily abuse its discretion if it based its ruling on an erroneous view of the law or on a clearly erroneous assessment of the evidence.”). Not only was the order plainly factually erroneous, it was also legally erroneous. The court relied on the standard of review for habeas petitions of state-court convictions to reject Hosseinipour’s arguments. (</w:t>
      </w:r>
      <w:r w:rsidRPr="00D25371">
        <w:rPr>
          <w:rFonts w:ascii="Century Schoolbook" w:eastAsia="Times New Roman" w:hAnsi="Century Schoolbook" w:cs="Times New Roman"/>
          <w:i/>
          <w:iCs/>
          <w:color w:val="000000"/>
          <w:sz w:val="28"/>
          <w:szCs w:val="28"/>
        </w:rPr>
        <w:t>See</w:t>
      </w:r>
      <w:r w:rsidRPr="00D25371">
        <w:rPr>
          <w:rFonts w:ascii="Century Schoolbook" w:eastAsia="Times New Roman" w:hAnsi="Century Schoolbook" w:cs="Times New Roman"/>
          <w:color w:val="000000"/>
          <w:sz w:val="28"/>
          <w:szCs w:val="28"/>
        </w:rPr>
        <w:t xml:space="preserve"> R.630, #6363 fn.2). </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 xml:space="preserve">In addressing the prejudice bar, the court failed to address whether Hosseinipour was </w:t>
      </w:r>
      <w:r w:rsidRPr="00D25371">
        <w:rPr>
          <w:rFonts w:ascii="Century Schoolbook" w:eastAsia="Times New Roman" w:hAnsi="Century Schoolbook" w:cs="Times New Roman"/>
          <w:color w:val="000000"/>
          <w:sz w:val="28"/>
          <w:szCs w:val="28"/>
          <w:shd w:val="clear" w:color="auto" w:fill="FFFF00"/>
        </w:rPr>
        <w:t>prejudiced</w:t>
      </w:r>
      <w:r w:rsidRPr="00D25371">
        <w:rPr>
          <w:rFonts w:ascii="Century Schoolbook" w:eastAsia="Times New Roman" w:hAnsi="Century Schoolbook" w:cs="Times New Roman"/>
          <w:color w:val="000000"/>
          <w:sz w:val="28"/>
          <w:szCs w:val="28"/>
        </w:rPr>
        <w:t xml:space="preserve"> by not having effective counsel regarding whether to plead guilty. Instead, in only addressing whether her counsel’s performance at trial prejudiced her, the court determined that there was substantial evidence of Hosseinipour’s involvement in the scheme, so she could not satisfy the prejudice prong. As with the rest of the court’s order, the reasoning here is similarly faulty. Involvement in the Emperor program is not a crime. Moreover, </w:t>
      </w:r>
      <w:r w:rsidRPr="00D25371">
        <w:rPr>
          <w:rFonts w:ascii="Century Schoolbook" w:eastAsia="Times New Roman" w:hAnsi="Century Schoolbook" w:cs="Times New Roman"/>
          <w:color w:val="000000"/>
          <w:sz w:val="28"/>
          <w:szCs w:val="28"/>
        </w:rPr>
        <w:lastRenderedPageBreak/>
        <w:t>participation in a scheme to defraud is not a crime. The court’s analysis omits (1) whether the scheme was fraudulent, (2) whether she knowingly participated in the scheme, and (3) whether she did so with the intent to defraud. Finding no prejudice based on this analysis was plainly an abuse of discretion.</w:t>
      </w:r>
    </w:p>
    <w:p w:rsidR="00D25371" w:rsidRPr="00D25371" w:rsidRDefault="00D25371" w:rsidP="00D25371">
      <w:pPr>
        <w:spacing w:after="0" w:line="480" w:lineRule="auto"/>
        <w:ind w:firstLine="720"/>
        <w:jc w:val="both"/>
        <w:rPr>
          <w:rFonts w:ascii="Times New Roman" w:eastAsia="Times New Roman" w:hAnsi="Times New Roman" w:cs="Times New Roman"/>
          <w:sz w:val="24"/>
          <w:szCs w:val="24"/>
        </w:rPr>
      </w:pPr>
      <w:r w:rsidRPr="00D25371">
        <w:rPr>
          <w:rFonts w:ascii="Century Schoolbook" w:eastAsia="Times New Roman" w:hAnsi="Century Schoolbook" w:cs="Times New Roman"/>
          <w:color w:val="000000"/>
          <w:sz w:val="28"/>
          <w:szCs w:val="28"/>
        </w:rPr>
        <w:t>Hosseinipour met the burden of offering a modicum of evidence in support of her request for an evidentiary hearing, and the court abused its discretion in denying her request.  </w:t>
      </w:r>
    </w:p>
    <w:p w:rsidR="00987F1C" w:rsidRDefault="00987F1C">
      <w:bookmarkStart w:id="0" w:name="_GoBack"/>
      <w:bookmarkEnd w:id="0"/>
    </w:p>
    <w:sectPr w:rsidR="0098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7B2"/>
    <w:multiLevelType w:val="multilevel"/>
    <w:tmpl w:val="8A86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71"/>
    <w:rsid w:val="00987F1C"/>
    <w:rsid w:val="00D2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3529</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2023-10-24T13:12:00Z</dcterms:created>
  <dcterms:modified xsi:type="dcterms:W3CDTF">2023-10-24T13:13:00Z</dcterms:modified>
</cp:coreProperties>
</file>