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070B9" w14:textId="6B6BC925" w:rsidR="00C95B37" w:rsidRPr="00C95B37" w:rsidRDefault="00C95B37" w:rsidP="00C95B3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shd w:val="clear" w:color="auto" w:fill="FFFFFF"/>
        </w:rPr>
        <w:t xml:space="preserve">The Government Relied on False Evidence </w:t>
      </w:r>
    </w:p>
    <w:p w14:paraId="171133FD" w14:textId="77777777" w:rsidR="00C95B37" w:rsidRPr="00C95B37" w:rsidRDefault="00C95B37" w:rsidP="00C95B37">
      <w:pPr>
        <w:spacing w:after="0" w:line="240" w:lineRule="auto"/>
        <w:rPr>
          <w:rFonts w:ascii="Times New Roman" w:eastAsia="Times New Roman" w:hAnsi="Times New Roman" w:cs="Times New Roman"/>
          <w:sz w:val="24"/>
          <w:szCs w:val="24"/>
        </w:rPr>
      </w:pPr>
    </w:p>
    <w:p w14:paraId="0A042F08" w14:textId="77777777" w:rsidR="00C95B37" w:rsidRPr="00C95B37" w:rsidRDefault="00C95B37" w:rsidP="00C95B37">
      <w:pPr>
        <w:spacing w:after="0" w:line="480" w:lineRule="auto"/>
        <w:jc w:val="both"/>
        <w:rPr>
          <w:rFonts w:ascii="Times New Roman" w:eastAsia="Times New Roman" w:hAnsi="Times New Roman" w:cs="Times New Roman"/>
          <w:sz w:val="24"/>
          <w:szCs w:val="24"/>
        </w:rPr>
      </w:pPr>
      <w:r w:rsidRPr="00C95B37">
        <w:rPr>
          <w:rFonts w:ascii="Times New Roman" w:eastAsia="Times New Roman" w:hAnsi="Times New Roman" w:cs="Times New Roman"/>
          <w:color w:val="000000"/>
          <w:sz w:val="24"/>
          <w:szCs w:val="24"/>
        </w:rPr>
        <w:tab/>
      </w:r>
      <w:r w:rsidRPr="00C95B37">
        <w:rPr>
          <w:rFonts w:ascii="Times New Roman" w:eastAsia="Times New Roman" w:hAnsi="Times New Roman" w:cs="Times New Roman"/>
          <w:b/>
          <w:bCs/>
          <w:color w:val="000000"/>
          <w:sz w:val="24"/>
          <w:szCs w:val="24"/>
        </w:rPr>
        <w:t>Standard of Review</w:t>
      </w:r>
    </w:p>
    <w:p w14:paraId="5D8CE945" w14:textId="77777777" w:rsidR="00C95B37" w:rsidRPr="00C95B37" w:rsidRDefault="00C95B37" w:rsidP="00C95B37">
      <w:pPr>
        <w:spacing w:after="0" w:line="480" w:lineRule="auto"/>
        <w:jc w:val="both"/>
        <w:rPr>
          <w:rFonts w:ascii="Times New Roman" w:eastAsia="Times New Roman" w:hAnsi="Times New Roman" w:cs="Times New Roman"/>
          <w:sz w:val="24"/>
          <w:szCs w:val="24"/>
        </w:rPr>
      </w:pPr>
      <w:r w:rsidRPr="00C95B37">
        <w:rPr>
          <w:rFonts w:ascii="Times New Roman" w:eastAsia="Times New Roman" w:hAnsi="Times New Roman" w:cs="Times New Roman"/>
          <w:color w:val="000000"/>
          <w:sz w:val="24"/>
          <w:szCs w:val="24"/>
        </w:rPr>
        <w:tab/>
        <w:t xml:space="preserve">Defendants repeatedly objected to 101i based on its cumulative prejudicial effect based on the defendants’ understanding from the Government that it displayed “the profits and losses of every participant in I2G.” (R.455,#3545; R.681,#8311; R.498,#4164.) After trial, Hosseinipour received new evidence showing information in Reynolds’ database that was omitted from 101i. Hosseinipour also received new evidence that Reynolds filtered out gains and did not include all the gains in 101i. This was the first time Hosseinipour had the information to raise a false evidence argument, and </w:t>
      </w:r>
      <w:proofErr w:type="spellStart"/>
      <w:r w:rsidRPr="00C95B37">
        <w:rPr>
          <w:rFonts w:ascii="Times New Roman" w:eastAsia="Times New Roman" w:hAnsi="Times New Roman" w:cs="Times New Roman"/>
          <w:color w:val="000000"/>
          <w:sz w:val="24"/>
          <w:szCs w:val="24"/>
        </w:rPr>
        <w:t>Hosseinipour’s</w:t>
      </w:r>
      <w:proofErr w:type="spellEnd"/>
      <w:r w:rsidRPr="00C95B37">
        <w:rPr>
          <w:rFonts w:ascii="Times New Roman" w:eastAsia="Times New Roman" w:hAnsi="Times New Roman" w:cs="Times New Roman"/>
          <w:color w:val="000000"/>
          <w:sz w:val="24"/>
          <w:szCs w:val="24"/>
        </w:rPr>
        <w:t xml:space="preserve"> appeal was pending. Instead of filing another motion for a new trial based on newly discovered evidence, Hosseinipour raised the false evidence claims with the other issues identified on appeal. This was in the interest of judicial economy, so it should not be relegated to plain-error review. </w:t>
      </w:r>
      <w:r w:rsidRPr="00C95B37">
        <w:rPr>
          <w:rFonts w:ascii="Times New Roman" w:eastAsia="Times New Roman" w:hAnsi="Times New Roman" w:cs="Times New Roman"/>
          <w:i/>
          <w:iCs/>
          <w:color w:val="000000"/>
          <w:sz w:val="24"/>
          <w:szCs w:val="24"/>
        </w:rPr>
        <w:t>Libertarian Party of Ohio v. Husted</w:t>
      </w:r>
      <w:r w:rsidRPr="00C95B37">
        <w:rPr>
          <w:rFonts w:ascii="Times New Roman" w:eastAsia="Times New Roman" w:hAnsi="Times New Roman" w:cs="Times New Roman"/>
          <w:color w:val="000000"/>
          <w:sz w:val="24"/>
          <w:szCs w:val="24"/>
        </w:rPr>
        <w:t>, 831 F.3d 382, 406 (6th Cir. 2016)(issue properly raised on appeal where it first became available while appeal was pending). Regardless, the error was plain. </w:t>
      </w:r>
    </w:p>
    <w:p w14:paraId="01DDF215" w14:textId="77777777" w:rsidR="00C95B37" w:rsidRPr="00C95B37" w:rsidRDefault="00C95B37" w:rsidP="00C95B37">
      <w:pPr>
        <w:spacing w:after="0" w:line="480" w:lineRule="auto"/>
        <w:jc w:val="both"/>
        <w:rPr>
          <w:rFonts w:ascii="Times New Roman" w:eastAsia="Times New Roman" w:hAnsi="Times New Roman" w:cs="Times New Roman"/>
          <w:sz w:val="24"/>
          <w:szCs w:val="24"/>
        </w:rPr>
      </w:pPr>
      <w:r w:rsidRPr="00C95B37">
        <w:rPr>
          <w:rFonts w:ascii="Times New Roman" w:eastAsia="Times New Roman" w:hAnsi="Times New Roman" w:cs="Times New Roman"/>
          <w:color w:val="000000"/>
          <w:sz w:val="24"/>
          <w:szCs w:val="24"/>
        </w:rPr>
        <w:tab/>
      </w:r>
      <w:r w:rsidRPr="00C95B37">
        <w:rPr>
          <w:rFonts w:ascii="Times New Roman" w:eastAsia="Times New Roman" w:hAnsi="Times New Roman" w:cs="Times New Roman"/>
          <w:b/>
          <w:bCs/>
          <w:color w:val="000000"/>
          <w:sz w:val="24"/>
          <w:szCs w:val="24"/>
        </w:rPr>
        <w:t>Merits</w:t>
      </w:r>
    </w:p>
    <w:p w14:paraId="3A9CC654" w14:textId="77777777" w:rsidR="00C95B37" w:rsidRPr="00C95B37" w:rsidRDefault="00C95B37" w:rsidP="00C95B37">
      <w:pPr>
        <w:spacing w:after="0" w:line="480" w:lineRule="auto"/>
        <w:ind w:firstLine="720"/>
        <w:jc w:val="both"/>
        <w:rPr>
          <w:rFonts w:ascii="Times New Roman" w:eastAsia="Times New Roman" w:hAnsi="Times New Roman" w:cs="Times New Roman"/>
          <w:sz w:val="24"/>
          <w:szCs w:val="24"/>
        </w:rPr>
      </w:pPr>
      <w:r w:rsidRPr="00C95B37">
        <w:rPr>
          <w:rFonts w:ascii="Times New Roman" w:eastAsia="Times New Roman" w:hAnsi="Times New Roman" w:cs="Times New Roman"/>
          <w:color w:val="000000"/>
          <w:sz w:val="24"/>
          <w:szCs w:val="24"/>
        </w:rPr>
        <w:t xml:space="preserve">A defendant can show the presentation of false evidence when the Government fails to correct testimony that gives the jury a “false impression.” </w:t>
      </w:r>
      <w:proofErr w:type="spellStart"/>
      <w:r w:rsidRPr="00C95B37">
        <w:rPr>
          <w:rFonts w:ascii="Times New Roman" w:eastAsia="Times New Roman" w:hAnsi="Times New Roman" w:cs="Times New Roman"/>
          <w:i/>
          <w:iCs/>
          <w:color w:val="000000"/>
          <w:sz w:val="24"/>
          <w:szCs w:val="24"/>
        </w:rPr>
        <w:t>Alcorta</w:t>
      </w:r>
      <w:proofErr w:type="spellEnd"/>
      <w:r w:rsidRPr="00C95B37">
        <w:rPr>
          <w:rFonts w:ascii="Times New Roman" w:eastAsia="Times New Roman" w:hAnsi="Times New Roman" w:cs="Times New Roman"/>
          <w:i/>
          <w:iCs/>
          <w:color w:val="000000"/>
          <w:sz w:val="24"/>
          <w:szCs w:val="24"/>
        </w:rPr>
        <w:t xml:space="preserve"> v. Texas</w:t>
      </w:r>
      <w:r w:rsidRPr="00C95B37">
        <w:rPr>
          <w:rFonts w:ascii="Times New Roman" w:eastAsia="Times New Roman" w:hAnsi="Times New Roman" w:cs="Times New Roman"/>
          <w:color w:val="000000"/>
          <w:sz w:val="24"/>
          <w:szCs w:val="24"/>
        </w:rPr>
        <w:t>, 355 U.S. 28, 31 (1957). The use of false testimony extends to “‘half-truths</w:t>
      </w:r>
      <w:r w:rsidRPr="00C95B37">
        <w:rPr>
          <w:rFonts w:ascii="Calibri" w:eastAsia="Times New Roman" w:hAnsi="Calibri" w:cs="Calibri"/>
          <w:color w:val="000000"/>
        </w:rPr>
        <w:t xml:space="preserve"> </w:t>
      </w:r>
      <w:r w:rsidRPr="00C95B37">
        <w:rPr>
          <w:rFonts w:ascii="Times New Roman" w:eastAsia="Times New Roman" w:hAnsi="Times New Roman" w:cs="Times New Roman"/>
          <w:color w:val="000000"/>
          <w:sz w:val="24"/>
          <w:szCs w:val="24"/>
        </w:rPr>
        <w:t xml:space="preserve">and vague statements that could be true in a limited, literal sense but give a false impression to the jury.” </w:t>
      </w:r>
      <w:r w:rsidRPr="00C95B37">
        <w:rPr>
          <w:rFonts w:ascii="Times New Roman" w:eastAsia="Times New Roman" w:hAnsi="Times New Roman" w:cs="Times New Roman"/>
          <w:i/>
          <w:iCs/>
          <w:color w:val="000000"/>
          <w:sz w:val="24"/>
          <w:szCs w:val="24"/>
        </w:rPr>
        <w:t>U.S. v. Freeman</w:t>
      </w:r>
      <w:r w:rsidRPr="00C95B37">
        <w:rPr>
          <w:rFonts w:ascii="Times New Roman" w:eastAsia="Times New Roman" w:hAnsi="Times New Roman" w:cs="Times New Roman"/>
          <w:color w:val="000000"/>
          <w:sz w:val="24"/>
          <w:szCs w:val="24"/>
        </w:rPr>
        <w:t xml:space="preserve">, 650 F.3d 673, 680 (7th Cir. 2011). “Due process protects defendants against the knowing use of any false evidence by the State, whether it be by document, testimony, or any other form of admissible evidence.” </w:t>
      </w:r>
      <w:r w:rsidRPr="00C95B37">
        <w:rPr>
          <w:rFonts w:ascii="Times New Roman" w:eastAsia="Times New Roman" w:hAnsi="Times New Roman" w:cs="Times New Roman"/>
          <w:i/>
          <w:iCs/>
          <w:color w:val="000000"/>
          <w:sz w:val="24"/>
          <w:szCs w:val="24"/>
        </w:rPr>
        <w:t>Hayes v. Brown</w:t>
      </w:r>
      <w:r w:rsidRPr="00C95B37">
        <w:rPr>
          <w:rFonts w:ascii="Times New Roman" w:eastAsia="Times New Roman" w:hAnsi="Times New Roman" w:cs="Times New Roman"/>
          <w:color w:val="000000"/>
          <w:sz w:val="24"/>
          <w:szCs w:val="24"/>
        </w:rPr>
        <w:t>, 399 F.3d 972, 981 (9th Cir. 2005).</w:t>
      </w:r>
    </w:p>
    <w:p w14:paraId="2B714EEC" w14:textId="77777777" w:rsidR="00C95B37" w:rsidRPr="00C95B37" w:rsidRDefault="00C95B37" w:rsidP="00C95B37">
      <w:pPr>
        <w:spacing w:after="0" w:line="480" w:lineRule="auto"/>
        <w:ind w:firstLine="720"/>
        <w:jc w:val="both"/>
        <w:rPr>
          <w:rFonts w:ascii="Times New Roman" w:eastAsia="Times New Roman" w:hAnsi="Times New Roman" w:cs="Times New Roman"/>
          <w:sz w:val="24"/>
          <w:szCs w:val="24"/>
        </w:rPr>
      </w:pPr>
      <w:r w:rsidRPr="00C95B37">
        <w:rPr>
          <w:rFonts w:ascii="Times New Roman" w:eastAsia="Times New Roman" w:hAnsi="Times New Roman" w:cs="Times New Roman"/>
          <w:color w:val="000000"/>
          <w:sz w:val="24"/>
          <w:szCs w:val="24"/>
        </w:rPr>
        <w:lastRenderedPageBreak/>
        <w:t>The Government cherrypicked certain false evidence claims to respond to in its brief, thereby conceding the falsity of certain evidence and testimony. 101i included losses from more than 4,000 participants in a separate company, XTG1, after the indictment period. (Br.43-45.) This had nothing to do with I2G; instead, it just increased the losses and percentage of those who lost.  The Government did not argue that the evidence and testimony claiming that there were losses of I2G participants was not false. (Br.56-57.)</w:t>
      </w:r>
    </w:p>
    <w:p w14:paraId="34ED8C60" w14:textId="77777777" w:rsidR="00C95B37" w:rsidRPr="00C95B37" w:rsidRDefault="00C95B37" w:rsidP="00C95B37">
      <w:pPr>
        <w:spacing w:after="0" w:line="480" w:lineRule="auto"/>
        <w:ind w:firstLine="720"/>
        <w:jc w:val="both"/>
        <w:rPr>
          <w:rFonts w:ascii="Times New Roman" w:eastAsia="Times New Roman" w:hAnsi="Times New Roman" w:cs="Times New Roman"/>
          <w:sz w:val="24"/>
          <w:szCs w:val="24"/>
        </w:rPr>
      </w:pPr>
      <w:r w:rsidRPr="00C95B37">
        <w:rPr>
          <w:rFonts w:ascii="Times New Roman" w:eastAsia="Times New Roman" w:hAnsi="Times New Roman" w:cs="Times New Roman"/>
          <w:color w:val="000000"/>
          <w:sz w:val="24"/>
          <w:szCs w:val="24"/>
        </w:rPr>
        <w:t>101i included purchases of packages where individuals could not make any money. For example, it consists of 2,665 purchases of $19.95, indicating the purchase of a customer package. (Hosseinipour Br.45.) These individuals were not eligible to participate in the compensation plan and received exactly what</w:t>
      </w:r>
      <w:r w:rsidRPr="00C95B37">
        <w:rPr>
          <w:rFonts w:ascii="Times New Roman" w:eastAsia="Times New Roman" w:hAnsi="Times New Roman" w:cs="Times New Roman"/>
          <w:color w:val="000000"/>
          <w:sz w:val="24"/>
          <w:szCs w:val="24"/>
          <w:shd w:val="clear" w:color="auto" w:fill="FFFF00"/>
        </w:rPr>
        <w:t xml:space="preserve"> they</w:t>
      </w:r>
      <w:r w:rsidRPr="00C95B37">
        <w:rPr>
          <w:rFonts w:ascii="Times New Roman" w:eastAsia="Times New Roman" w:hAnsi="Times New Roman" w:cs="Times New Roman"/>
          <w:color w:val="000000"/>
          <w:sz w:val="24"/>
          <w:szCs w:val="24"/>
        </w:rPr>
        <w:t xml:space="preserve"> purchased. There was no loss, and testifying that those individuals lost money was false. The Government did not respond to this argument. (Br.56-57.)</w:t>
      </w:r>
    </w:p>
    <w:p w14:paraId="182F1425" w14:textId="77777777" w:rsidR="00C95B37" w:rsidRPr="00C95B37" w:rsidRDefault="00C95B37" w:rsidP="00C95B37">
      <w:pPr>
        <w:spacing w:after="0" w:line="480" w:lineRule="auto"/>
        <w:jc w:val="both"/>
        <w:rPr>
          <w:rFonts w:ascii="Times New Roman" w:eastAsia="Times New Roman" w:hAnsi="Times New Roman" w:cs="Times New Roman"/>
          <w:sz w:val="24"/>
          <w:szCs w:val="24"/>
        </w:rPr>
      </w:pPr>
      <w:r w:rsidRPr="00C95B37">
        <w:rPr>
          <w:rFonts w:ascii="Times New Roman" w:eastAsia="Times New Roman" w:hAnsi="Times New Roman" w:cs="Times New Roman"/>
          <w:color w:val="000000"/>
          <w:sz w:val="24"/>
          <w:szCs w:val="24"/>
        </w:rPr>
        <w:tab/>
        <w:t>An additional 219 entries were reported as fraud, and no payment was made. (Hosseinipour Br.46.) Thus, no loss was suffered, and the testimony that they suffered a loss was also false. The Government did not respond to this argument. (Br.56-57.)</w:t>
      </w:r>
    </w:p>
    <w:p w14:paraId="61249E0A" w14:textId="77777777" w:rsidR="00C95B37" w:rsidRPr="00C95B37" w:rsidRDefault="00C95B37" w:rsidP="00C95B37">
      <w:pPr>
        <w:spacing w:after="0" w:line="480" w:lineRule="auto"/>
        <w:jc w:val="both"/>
        <w:rPr>
          <w:rFonts w:ascii="Times New Roman" w:eastAsia="Times New Roman" w:hAnsi="Times New Roman" w:cs="Times New Roman"/>
          <w:sz w:val="24"/>
          <w:szCs w:val="24"/>
        </w:rPr>
      </w:pPr>
      <w:r w:rsidRPr="00C95B37">
        <w:rPr>
          <w:rFonts w:ascii="Times New Roman" w:eastAsia="Times New Roman" w:hAnsi="Times New Roman" w:cs="Times New Roman"/>
          <w:color w:val="000000"/>
          <w:sz w:val="24"/>
          <w:szCs w:val="24"/>
        </w:rPr>
        <w:tab/>
        <w:t>The loss figure also included monthly subscription fees, which were waived. (R.505,#4550.) Thus, it had an additional $832,000 in losses never incurred. (Hosseinipour Br.48.) The Government did not respond to this argument. (Br.56-57.)</w:t>
      </w:r>
    </w:p>
    <w:p w14:paraId="54CFD43A" w14:textId="77777777" w:rsidR="00C95B37" w:rsidRPr="00C95B37" w:rsidRDefault="00C95B37" w:rsidP="00C95B37">
      <w:pPr>
        <w:spacing w:after="0" w:line="480" w:lineRule="auto"/>
        <w:jc w:val="both"/>
        <w:rPr>
          <w:rFonts w:ascii="Times New Roman" w:eastAsia="Times New Roman" w:hAnsi="Times New Roman" w:cs="Times New Roman"/>
          <w:sz w:val="24"/>
          <w:szCs w:val="24"/>
        </w:rPr>
      </w:pPr>
      <w:r w:rsidRPr="00C95B37">
        <w:rPr>
          <w:rFonts w:ascii="Times New Roman" w:eastAsia="Times New Roman" w:hAnsi="Times New Roman" w:cs="Times New Roman"/>
          <w:color w:val="000000"/>
          <w:sz w:val="24"/>
          <w:szCs w:val="24"/>
        </w:rPr>
        <w:tab/>
        <w:t xml:space="preserve">Given the Government’s failure to respond, 101i and the related testimony </w:t>
      </w:r>
      <w:r w:rsidRPr="00C95B37">
        <w:rPr>
          <w:rFonts w:ascii="Times New Roman" w:eastAsia="Times New Roman" w:hAnsi="Times New Roman" w:cs="Times New Roman"/>
          <w:color w:val="000000"/>
          <w:sz w:val="24"/>
          <w:szCs w:val="24"/>
          <w:shd w:val="clear" w:color="auto" w:fill="FFFF00"/>
        </w:rPr>
        <w:t xml:space="preserve">were </w:t>
      </w:r>
      <w:r w:rsidRPr="00C95B37">
        <w:rPr>
          <w:rFonts w:ascii="Times New Roman" w:eastAsia="Times New Roman" w:hAnsi="Times New Roman" w:cs="Times New Roman"/>
          <w:color w:val="000000"/>
          <w:sz w:val="24"/>
          <w:szCs w:val="24"/>
        </w:rPr>
        <w:t>false. However, the government’s arguments in response worsened</w:t>
      </w:r>
      <w:r w:rsidRPr="00C95B37">
        <w:rPr>
          <w:rFonts w:ascii="Times New Roman" w:eastAsia="Times New Roman" w:hAnsi="Times New Roman" w:cs="Times New Roman"/>
          <w:color w:val="000000"/>
          <w:sz w:val="24"/>
          <w:szCs w:val="24"/>
          <w:shd w:val="clear" w:color="auto" w:fill="FFFF00"/>
        </w:rPr>
        <w:t xml:space="preserve"> </w:t>
      </w:r>
      <w:r w:rsidRPr="00C95B37">
        <w:rPr>
          <w:rFonts w:ascii="Times New Roman" w:eastAsia="Times New Roman" w:hAnsi="Times New Roman" w:cs="Times New Roman"/>
          <w:color w:val="000000"/>
          <w:sz w:val="24"/>
          <w:szCs w:val="24"/>
        </w:rPr>
        <w:t>the prosecutorial misconduct.</w:t>
      </w:r>
    </w:p>
    <w:p w14:paraId="440D92CE" w14:textId="77777777" w:rsidR="00C95B37" w:rsidRPr="00C95B37" w:rsidRDefault="00C95B37" w:rsidP="00C95B37">
      <w:pPr>
        <w:spacing w:after="0" w:line="240" w:lineRule="auto"/>
        <w:rPr>
          <w:rFonts w:ascii="Times New Roman" w:eastAsia="Times New Roman" w:hAnsi="Times New Roman" w:cs="Times New Roman"/>
          <w:sz w:val="24"/>
          <w:szCs w:val="24"/>
        </w:rPr>
      </w:pPr>
    </w:p>
    <w:p w14:paraId="57C5CB97" w14:textId="77777777" w:rsidR="00C95B37" w:rsidRPr="00C95B37" w:rsidRDefault="00C95B37" w:rsidP="00C95B37">
      <w:pPr>
        <w:spacing w:after="0" w:line="480" w:lineRule="auto"/>
        <w:ind w:firstLine="720"/>
        <w:jc w:val="both"/>
        <w:rPr>
          <w:rFonts w:ascii="Times New Roman" w:eastAsia="Times New Roman" w:hAnsi="Times New Roman" w:cs="Times New Roman"/>
          <w:sz w:val="24"/>
          <w:szCs w:val="24"/>
        </w:rPr>
      </w:pPr>
      <w:r w:rsidRPr="00C95B37">
        <w:rPr>
          <w:rFonts w:ascii="Times New Roman" w:eastAsia="Times New Roman" w:hAnsi="Times New Roman" w:cs="Times New Roman"/>
          <w:color w:val="000000"/>
          <w:sz w:val="24"/>
          <w:szCs w:val="24"/>
        </w:rPr>
        <w:t xml:space="preserve"> The Government claims to this Court that “Exhibit 101i” merely presents the data as recorded in Reynolds's system. (BR.56). However, this representation worsens prosecutorial misconduct. It is objectively untrue that 101i presents only the gains and losses of I2G participants as tracked by Reynolds's system. </w:t>
      </w:r>
      <w:r w:rsidRPr="00C95B37">
        <w:rPr>
          <w:rFonts w:ascii="Times New Roman" w:eastAsia="Times New Roman" w:hAnsi="Times New Roman" w:cs="Times New Roman"/>
          <w:color w:val="000000"/>
          <w:sz w:val="24"/>
          <w:szCs w:val="24"/>
          <w:shd w:val="clear" w:color="auto" w:fill="FFFF00"/>
        </w:rPr>
        <w:t xml:space="preserve">101i explicitly includes voided and XTG1 transactions, customer </w:t>
      </w:r>
      <w:r w:rsidRPr="00C95B37">
        <w:rPr>
          <w:rFonts w:ascii="Times New Roman" w:eastAsia="Times New Roman" w:hAnsi="Times New Roman" w:cs="Times New Roman"/>
          <w:color w:val="000000"/>
          <w:sz w:val="24"/>
          <w:szCs w:val="24"/>
          <w:shd w:val="clear" w:color="auto" w:fill="FFFF00"/>
        </w:rPr>
        <w:lastRenderedPageBreak/>
        <w:t>purchases, and "gifted" and refunded packages marked as losses. Also, significant earned commissions were filtered out.  In other words, 101i does not present the gains and losses indicated by Reynolds's system; rather, it reports inflated loss rates and deflated gains with no factual basis.</w:t>
      </w:r>
    </w:p>
    <w:p w14:paraId="5A204921" w14:textId="77777777" w:rsidR="00C95B37" w:rsidRPr="00C95B37" w:rsidRDefault="00C95B37" w:rsidP="00C95B37">
      <w:pPr>
        <w:spacing w:after="240" w:line="240" w:lineRule="auto"/>
        <w:rPr>
          <w:rFonts w:ascii="Times New Roman" w:eastAsia="Times New Roman" w:hAnsi="Times New Roman" w:cs="Times New Roman"/>
          <w:sz w:val="24"/>
          <w:szCs w:val="24"/>
        </w:rPr>
      </w:pPr>
      <w:r w:rsidRPr="00C95B37">
        <w:rPr>
          <w:rFonts w:ascii="Times New Roman" w:eastAsia="Times New Roman" w:hAnsi="Times New Roman" w:cs="Times New Roman"/>
          <w:color w:val="000000"/>
          <w:sz w:val="24"/>
          <w:szCs w:val="24"/>
        </w:rPr>
        <w:br/>
      </w:r>
      <w:r w:rsidRPr="00C95B37">
        <w:rPr>
          <w:rFonts w:ascii="Times New Roman" w:eastAsia="Times New Roman" w:hAnsi="Times New Roman" w:cs="Times New Roman"/>
          <w:color w:val="000000"/>
          <w:sz w:val="24"/>
          <w:szCs w:val="24"/>
        </w:rPr>
        <w:br/>
      </w:r>
      <w:r w:rsidRPr="00C95B37">
        <w:rPr>
          <w:rFonts w:ascii="Times New Roman" w:eastAsia="Times New Roman" w:hAnsi="Times New Roman" w:cs="Times New Roman"/>
          <w:color w:val="000000"/>
          <w:sz w:val="24"/>
          <w:szCs w:val="24"/>
        </w:rPr>
        <w:br/>
      </w:r>
      <w:r w:rsidRPr="00C95B37">
        <w:rPr>
          <w:rFonts w:ascii="Times New Roman" w:eastAsia="Times New Roman" w:hAnsi="Times New Roman" w:cs="Times New Roman"/>
          <w:color w:val="000000"/>
          <w:sz w:val="24"/>
          <w:szCs w:val="24"/>
        </w:rPr>
        <w:br/>
      </w:r>
      <w:r w:rsidRPr="00C95B37">
        <w:rPr>
          <w:rFonts w:ascii="Times New Roman" w:eastAsia="Times New Roman" w:hAnsi="Times New Roman" w:cs="Times New Roman"/>
          <w:color w:val="000000"/>
          <w:sz w:val="24"/>
          <w:szCs w:val="24"/>
        </w:rPr>
        <w:br/>
      </w:r>
    </w:p>
    <w:p w14:paraId="23A258B2" w14:textId="77777777" w:rsidR="00C95B37" w:rsidRPr="00C95B37" w:rsidRDefault="00C95B37" w:rsidP="00C95B37">
      <w:pPr>
        <w:spacing w:after="0" w:line="480" w:lineRule="auto"/>
        <w:jc w:val="both"/>
        <w:rPr>
          <w:rFonts w:ascii="Times New Roman" w:eastAsia="Times New Roman" w:hAnsi="Times New Roman" w:cs="Times New Roman"/>
          <w:sz w:val="24"/>
          <w:szCs w:val="24"/>
        </w:rPr>
      </w:pPr>
      <w:r w:rsidRPr="00C95B37">
        <w:rPr>
          <w:rFonts w:ascii="Times New Roman" w:eastAsia="Times New Roman" w:hAnsi="Times New Roman" w:cs="Times New Roman"/>
          <w:color w:val="000000"/>
          <w:sz w:val="24"/>
          <w:szCs w:val="24"/>
        </w:rPr>
        <w:tab/>
        <w:t xml:space="preserve">Based on a spreadsheet Reynolds produced after </w:t>
      </w:r>
      <w:r w:rsidRPr="00C95B37">
        <w:rPr>
          <w:rFonts w:ascii="Times New Roman" w:eastAsia="Times New Roman" w:hAnsi="Times New Roman" w:cs="Times New Roman"/>
          <w:color w:val="000000"/>
          <w:sz w:val="24"/>
          <w:szCs w:val="24"/>
          <w:shd w:val="clear" w:color="auto" w:fill="FFFF00"/>
        </w:rPr>
        <w:t>the trial,</w:t>
      </w:r>
      <w:r w:rsidRPr="00C95B37">
        <w:rPr>
          <w:rFonts w:ascii="Times New Roman" w:eastAsia="Times New Roman" w:hAnsi="Times New Roman" w:cs="Times New Roman"/>
          <w:color w:val="000000"/>
          <w:sz w:val="24"/>
          <w:szCs w:val="24"/>
        </w:rPr>
        <w:t xml:space="preserve"> I2G had 12,791 voided transactions. (R.721-2</w:t>
      </w:r>
      <w:r w:rsidRPr="00C95B37">
        <w:rPr>
          <w:rFonts w:ascii="Times New Roman" w:eastAsia="Times New Roman" w:hAnsi="Times New Roman" w:cs="Times New Roman"/>
          <w:color w:val="000000"/>
          <w:sz w:val="24"/>
          <w:szCs w:val="24"/>
          <w:shd w:val="clear" w:color="auto" w:fill="FFFF00"/>
        </w:rPr>
        <w:t>, Refunds.)</w:t>
      </w:r>
      <w:r w:rsidRPr="00C95B37">
        <w:rPr>
          <w:rFonts w:ascii="Times New Roman" w:eastAsia="Times New Roman" w:hAnsi="Times New Roman" w:cs="Times New Roman"/>
          <w:color w:val="000000"/>
          <w:sz w:val="24"/>
          <w:szCs w:val="24"/>
        </w:rPr>
        <w:t xml:space="preserve"> This spreadsheet includes refunds that I2G gave to participants. 101i included losses for certain purchasers who never paid because the transaction was voided or where the purchasers were refunded. For example, Moyer received a full refund, but he still is shown as a loss on 101i. Critically, the refunds and voided transactions came from Reynolds’ system. (R.721-2.) Yet 101i does not reflect them.</w:t>
      </w:r>
    </w:p>
    <w:p w14:paraId="2631791C" w14:textId="77777777" w:rsidR="00C95B37" w:rsidRPr="00C95B37" w:rsidRDefault="00C95B37" w:rsidP="00C95B37">
      <w:pPr>
        <w:spacing w:after="0" w:line="480" w:lineRule="auto"/>
        <w:ind w:firstLine="720"/>
        <w:jc w:val="both"/>
        <w:rPr>
          <w:rFonts w:ascii="Times New Roman" w:eastAsia="Times New Roman" w:hAnsi="Times New Roman" w:cs="Times New Roman"/>
          <w:sz w:val="24"/>
          <w:szCs w:val="24"/>
        </w:rPr>
      </w:pPr>
      <w:r w:rsidRPr="00C95B37">
        <w:rPr>
          <w:rFonts w:ascii="Times New Roman" w:eastAsia="Times New Roman" w:hAnsi="Times New Roman" w:cs="Times New Roman"/>
          <w:color w:val="000000"/>
          <w:sz w:val="24"/>
          <w:szCs w:val="24"/>
        </w:rPr>
        <w:t xml:space="preserve">Post-trial, Reynolds admitted under oath that 101i did not include all the data recorded in his system. (R.721-2.) Reynolds filtered out </w:t>
      </w:r>
      <w:r w:rsidRPr="00C95B37">
        <w:rPr>
          <w:rFonts w:ascii="Times New Roman" w:eastAsia="Times New Roman" w:hAnsi="Times New Roman" w:cs="Times New Roman"/>
          <w:color w:val="000000"/>
          <w:sz w:val="24"/>
          <w:szCs w:val="24"/>
          <w:shd w:val="clear" w:color="auto" w:fill="FFFF00"/>
        </w:rPr>
        <w:t>significant</w:t>
      </w:r>
      <w:r w:rsidRPr="00C95B37">
        <w:rPr>
          <w:rFonts w:ascii="Times New Roman" w:eastAsia="Times New Roman" w:hAnsi="Times New Roman" w:cs="Times New Roman"/>
          <w:color w:val="000000"/>
          <w:sz w:val="24"/>
          <w:szCs w:val="24"/>
        </w:rPr>
        <w:t xml:space="preserve"> commissions that participants earned. (</w:t>
      </w:r>
      <w:r w:rsidRPr="00C95B37">
        <w:rPr>
          <w:rFonts w:ascii="Times New Roman" w:eastAsia="Times New Roman" w:hAnsi="Times New Roman" w:cs="Times New Roman"/>
          <w:i/>
          <w:iCs/>
          <w:color w:val="000000"/>
          <w:sz w:val="24"/>
          <w:szCs w:val="24"/>
        </w:rPr>
        <w:t>Id.</w:t>
      </w:r>
      <w:r w:rsidRPr="00C95B37">
        <w:rPr>
          <w:rFonts w:ascii="Times New Roman" w:eastAsia="Times New Roman" w:hAnsi="Times New Roman" w:cs="Times New Roman"/>
          <w:color w:val="000000"/>
          <w:sz w:val="24"/>
          <w:szCs w:val="24"/>
        </w:rPr>
        <w:t>) Thus, 101i, by Reynolds’ admission, does not report all the commission that participants earned. </w:t>
      </w:r>
    </w:p>
    <w:p w14:paraId="52FFF5D9" w14:textId="77777777" w:rsidR="00C95B37" w:rsidRPr="00C95B37" w:rsidRDefault="00C95B37" w:rsidP="00C95B37">
      <w:pPr>
        <w:spacing w:after="0" w:line="480" w:lineRule="auto"/>
        <w:jc w:val="both"/>
        <w:rPr>
          <w:rFonts w:ascii="Times New Roman" w:eastAsia="Times New Roman" w:hAnsi="Times New Roman" w:cs="Times New Roman"/>
          <w:sz w:val="24"/>
          <w:szCs w:val="24"/>
        </w:rPr>
      </w:pPr>
      <w:r w:rsidRPr="00C95B37">
        <w:rPr>
          <w:rFonts w:ascii="Times New Roman" w:eastAsia="Times New Roman" w:hAnsi="Times New Roman" w:cs="Times New Roman"/>
          <w:color w:val="000000"/>
          <w:sz w:val="24"/>
          <w:szCs w:val="24"/>
        </w:rPr>
        <w:tab/>
        <w:t xml:space="preserve">101i gave a false impression of the loss rate of I2G, and the testimony related to it was false for several other reasons. For example, 101i does not include all commissions earned by Emperors but only payment of checks ordered through </w:t>
      </w:r>
      <w:r w:rsidRPr="00C95B37">
        <w:rPr>
          <w:rFonts w:ascii="Times New Roman" w:eastAsia="Times New Roman" w:hAnsi="Times New Roman" w:cs="Times New Roman"/>
          <w:color w:val="000000"/>
          <w:sz w:val="24"/>
          <w:szCs w:val="24"/>
          <w:shd w:val="clear" w:color="auto" w:fill="FFFF00"/>
        </w:rPr>
        <w:t>Jerry Reynolds’</w:t>
      </w:r>
      <w:r w:rsidRPr="00C95B37">
        <w:rPr>
          <w:rFonts w:ascii="Times New Roman" w:eastAsia="Times New Roman" w:hAnsi="Times New Roman" w:cs="Times New Roman"/>
          <w:color w:val="000000"/>
          <w:sz w:val="24"/>
          <w:szCs w:val="24"/>
        </w:rPr>
        <w:t xml:space="preserve"> </w:t>
      </w:r>
      <w:proofErr w:type="gramStart"/>
      <w:r w:rsidRPr="00C95B37">
        <w:rPr>
          <w:rFonts w:ascii="Times New Roman" w:eastAsia="Times New Roman" w:hAnsi="Times New Roman" w:cs="Times New Roman"/>
          <w:color w:val="000000"/>
          <w:sz w:val="24"/>
          <w:szCs w:val="24"/>
        </w:rPr>
        <w:t>back office</w:t>
      </w:r>
      <w:proofErr w:type="gramEnd"/>
      <w:r w:rsidRPr="00C95B37">
        <w:rPr>
          <w:rFonts w:ascii="Times New Roman" w:eastAsia="Times New Roman" w:hAnsi="Times New Roman" w:cs="Times New Roman"/>
          <w:color w:val="000000"/>
          <w:sz w:val="24"/>
          <w:szCs w:val="24"/>
        </w:rPr>
        <w:t xml:space="preserve"> computer system. 101i does not include commissions earned that were used to purchase i2g products or positions. 101i does not include commissions earned that were transferred to other participants. Emperor positions paid for with </w:t>
      </w:r>
      <w:r w:rsidRPr="00C95B37">
        <w:rPr>
          <w:rFonts w:ascii="Times New Roman" w:eastAsia="Times New Roman" w:hAnsi="Times New Roman" w:cs="Times New Roman"/>
          <w:color w:val="000000"/>
          <w:sz w:val="24"/>
          <w:szCs w:val="24"/>
          <w:shd w:val="clear" w:color="auto" w:fill="FFFF00"/>
        </w:rPr>
        <w:t>“a gift certificate” created from “filtered commissions”</w:t>
      </w:r>
      <w:r w:rsidRPr="00C95B37">
        <w:rPr>
          <w:rFonts w:ascii="Times New Roman" w:eastAsia="Times New Roman" w:hAnsi="Times New Roman" w:cs="Times New Roman"/>
          <w:color w:val="000000"/>
          <w:sz w:val="24"/>
          <w:szCs w:val="24"/>
        </w:rPr>
        <w:t xml:space="preserve"> were listed as if a participant paid $5,000.00 for each position. </w:t>
      </w:r>
    </w:p>
    <w:p w14:paraId="40875508" w14:textId="77777777" w:rsidR="00C95B37" w:rsidRPr="00C95B37" w:rsidRDefault="00C95B37" w:rsidP="00C95B37">
      <w:pPr>
        <w:spacing w:after="0" w:line="480" w:lineRule="auto"/>
        <w:jc w:val="both"/>
        <w:rPr>
          <w:rFonts w:ascii="Times New Roman" w:eastAsia="Times New Roman" w:hAnsi="Times New Roman" w:cs="Times New Roman"/>
          <w:sz w:val="24"/>
          <w:szCs w:val="24"/>
        </w:rPr>
      </w:pPr>
      <w:r w:rsidRPr="00C95B37">
        <w:rPr>
          <w:rFonts w:ascii="Times New Roman" w:eastAsia="Times New Roman" w:hAnsi="Times New Roman" w:cs="Times New Roman"/>
          <w:color w:val="000000"/>
          <w:sz w:val="24"/>
          <w:szCs w:val="24"/>
        </w:rPr>
        <w:lastRenderedPageBreak/>
        <w:tab/>
        <w:t>Keep’s testimony furthers the false evidence that was relied on by the Government and never corrected. Keep testified that 101i shows “for every participant in the system how much they gained or lost.” (R.487,#3876.) Keep testified that it showed the returns that individuals received. (</w:t>
      </w:r>
      <w:r w:rsidRPr="00C95B37">
        <w:rPr>
          <w:rFonts w:ascii="Times New Roman" w:eastAsia="Times New Roman" w:hAnsi="Times New Roman" w:cs="Times New Roman"/>
          <w:i/>
          <w:iCs/>
          <w:color w:val="000000"/>
          <w:sz w:val="24"/>
          <w:szCs w:val="24"/>
        </w:rPr>
        <w:t>Id.</w:t>
      </w:r>
      <w:r w:rsidRPr="00C95B37">
        <w:rPr>
          <w:rFonts w:ascii="Times New Roman" w:eastAsia="Times New Roman" w:hAnsi="Times New Roman" w:cs="Times New Roman"/>
          <w:color w:val="000000"/>
          <w:sz w:val="24"/>
          <w:szCs w:val="24"/>
        </w:rPr>
        <w:t xml:space="preserve">) Keep testified that he sorted the 101i by “gains and losses” and determined that 96% of the “20-plus thousand accounts” lost money. (R.487,#3877.) Keep testified that this was the total percentage of people that either gained or lost money through participation with I2G. </w:t>
      </w:r>
      <w:r w:rsidRPr="00C95B37">
        <w:rPr>
          <w:rFonts w:ascii="Times New Roman" w:eastAsia="Times New Roman" w:hAnsi="Times New Roman" w:cs="Times New Roman"/>
          <w:color w:val="000000"/>
          <w:sz w:val="24"/>
          <w:szCs w:val="24"/>
          <w:shd w:val="clear" w:color="auto" w:fill="FFFF00"/>
        </w:rPr>
        <w:t xml:space="preserve">The total number of distributors derived from 101G was also objectively untrue, including over 4000 XTG1 enrollments. </w:t>
      </w:r>
      <w:r w:rsidRPr="00C95B37">
        <w:rPr>
          <w:rFonts w:ascii="Times New Roman" w:eastAsia="Times New Roman" w:hAnsi="Times New Roman" w:cs="Times New Roman"/>
          <w:color w:val="000000"/>
          <w:sz w:val="24"/>
          <w:szCs w:val="24"/>
        </w:rPr>
        <w:t>(</w:t>
      </w:r>
      <w:r w:rsidRPr="00C95B37">
        <w:rPr>
          <w:rFonts w:ascii="Times New Roman" w:eastAsia="Times New Roman" w:hAnsi="Times New Roman" w:cs="Times New Roman"/>
          <w:i/>
          <w:iCs/>
          <w:color w:val="000000"/>
          <w:sz w:val="24"/>
          <w:szCs w:val="24"/>
        </w:rPr>
        <w:t>Id.</w:t>
      </w:r>
      <w:r w:rsidRPr="00C95B37">
        <w:rPr>
          <w:rFonts w:ascii="Times New Roman" w:eastAsia="Times New Roman" w:hAnsi="Times New Roman" w:cs="Times New Roman"/>
          <w:color w:val="000000"/>
          <w:sz w:val="24"/>
          <w:szCs w:val="24"/>
        </w:rPr>
        <w:t>) Keep used a simple formula to calculate from looking at “every account.” (R.487,#3877.)</w:t>
      </w:r>
    </w:p>
    <w:p w14:paraId="22D5ED86" w14:textId="77777777" w:rsidR="00C95B37" w:rsidRPr="00C95B37" w:rsidRDefault="00C95B37" w:rsidP="00C95B37">
      <w:pPr>
        <w:spacing w:after="0" w:line="480" w:lineRule="auto"/>
        <w:jc w:val="both"/>
        <w:rPr>
          <w:rFonts w:ascii="Times New Roman" w:eastAsia="Times New Roman" w:hAnsi="Times New Roman" w:cs="Times New Roman"/>
          <w:sz w:val="24"/>
          <w:szCs w:val="24"/>
        </w:rPr>
      </w:pPr>
      <w:r w:rsidRPr="00C95B37">
        <w:rPr>
          <w:rFonts w:ascii="Times New Roman" w:eastAsia="Times New Roman" w:hAnsi="Times New Roman" w:cs="Times New Roman"/>
          <w:color w:val="000000"/>
          <w:sz w:val="24"/>
          <w:szCs w:val="24"/>
        </w:rPr>
        <w:tab/>
        <w:t>The Government elicited factual testimony from its expert witness that was false. This was not an erroneous opinion. Instead, the Government had its witness falsely represent the information produced in discovery by the Government. This has nothing to do with inaccurate testimony. Instead, it was factual testimony regarding what 101i was, which was false. The Government then had a government agent further the false testimony: “[O]</w:t>
      </w:r>
      <w:proofErr w:type="spellStart"/>
      <w:r w:rsidRPr="00C95B37">
        <w:rPr>
          <w:rFonts w:ascii="Times New Roman" w:eastAsia="Times New Roman" w:hAnsi="Times New Roman" w:cs="Times New Roman"/>
          <w:color w:val="000000"/>
          <w:sz w:val="24"/>
          <w:szCs w:val="24"/>
        </w:rPr>
        <w:t>ne</w:t>
      </w:r>
      <w:proofErr w:type="spellEnd"/>
      <w:r w:rsidRPr="00C95B37">
        <w:rPr>
          <w:rFonts w:ascii="Times New Roman" w:eastAsia="Times New Roman" w:hAnsi="Times New Roman" w:cs="Times New Roman"/>
          <w:color w:val="000000"/>
          <w:sz w:val="24"/>
          <w:szCs w:val="24"/>
        </w:rPr>
        <w:t xml:space="preserve"> of them showed all of the commissions earned by all the different members within I2G” (R.699,#10322.)</w:t>
      </w:r>
    </w:p>
    <w:p w14:paraId="0405EA73" w14:textId="77777777" w:rsidR="00C95B37" w:rsidRPr="00C95B37" w:rsidRDefault="00C95B37" w:rsidP="00C95B37">
      <w:pPr>
        <w:spacing w:after="0" w:line="480" w:lineRule="auto"/>
        <w:ind w:firstLine="720"/>
        <w:jc w:val="both"/>
        <w:rPr>
          <w:rFonts w:ascii="Times New Roman" w:eastAsia="Times New Roman" w:hAnsi="Times New Roman" w:cs="Times New Roman"/>
          <w:sz w:val="24"/>
          <w:szCs w:val="24"/>
        </w:rPr>
      </w:pPr>
      <w:r w:rsidRPr="00C95B37">
        <w:rPr>
          <w:rFonts w:ascii="Times New Roman" w:eastAsia="Times New Roman" w:hAnsi="Times New Roman" w:cs="Times New Roman"/>
          <w:color w:val="000000"/>
          <w:sz w:val="24"/>
          <w:szCs w:val="24"/>
          <w:shd w:val="clear" w:color="auto" w:fill="FFFF00"/>
        </w:rPr>
        <w:t xml:space="preserve">As has been shown, this is not a case of mere inconsistency. Through the testimony of multiple witnesses (Keep, Reynolds, and Sauber), the Government reinforced the deception that 101-i showed all gains and losses and that 96% of purchasers lost money. Thus, as </w:t>
      </w:r>
      <w:proofErr w:type="spellStart"/>
      <w:r w:rsidRPr="00C95B37">
        <w:rPr>
          <w:rFonts w:ascii="Times New Roman" w:eastAsia="Times New Roman" w:hAnsi="Times New Roman" w:cs="Times New Roman"/>
          <w:color w:val="000000"/>
          <w:sz w:val="24"/>
          <w:szCs w:val="24"/>
          <w:shd w:val="clear" w:color="auto" w:fill="FFFF00"/>
        </w:rPr>
        <w:t>Lochmondy</w:t>
      </w:r>
      <w:proofErr w:type="spellEnd"/>
      <w:r w:rsidRPr="00C95B37">
        <w:rPr>
          <w:rFonts w:ascii="Times New Roman" w:eastAsia="Times New Roman" w:hAnsi="Times New Roman" w:cs="Times New Roman"/>
          <w:color w:val="000000"/>
          <w:sz w:val="24"/>
          <w:szCs w:val="24"/>
          <w:shd w:val="clear" w:color="auto" w:fill="FFFF00"/>
        </w:rPr>
        <w:t xml:space="preserve"> (a case relied on by the Government) illustrates, a contrary statement reinforced by multiple witnesses rises to a due process violation. </w:t>
      </w:r>
      <w:r w:rsidRPr="00C95B37">
        <w:rPr>
          <w:rFonts w:ascii="Times New Roman" w:eastAsia="Times New Roman" w:hAnsi="Times New Roman" w:cs="Times New Roman"/>
          <w:i/>
          <w:iCs/>
          <w:color w:val="000000"/>
          <w:sz w:val="24"/>
          <w:szCs w:val="24"/>
          <w:shd w:val="clear" w:color="auto" w:fill="FFFF00"/>
        </w:rPr>
        <w:t xml:space="preserve">U.S. v. </w:t>
      </w:r>
      <w:proofErr w:type="spellStart"/>
      <w:r w:rsidRPr="00C95B37">
        <w:rPr>
          <w:rFonts w:ascii="Times New Roman" w:eastAsia="Times New Roman" w:hAnsi="Times New Roman" w:cs="Times New Roman"/>
          <w:i/>
          <w:iCs/>
          <w:color w:val="000000"/>
          <w:sz w:val="24"/>
          <w:szCs w:val="24"/>
          <w:shd w:val="clear" w:color="auto" w:fill="FFFF00"/>
        </w:rPr>
        <w:t>Lochmondy</w:t>
      </w:r>
      <w:proofErr w:type="spellEnd"/>
      <w:r w:rsidRPr="00C95B37">
        <w:rPr>
          <w:rFonts w:ascii="Times New Roman" w:eastAsia="Times New Roman" w:hAnsi="Times New Roman" w:cs="Times New Roman"/>
          <w:color w:val="000000"/>
          <w:sz w:val="24"/>
          <w:szCs w:val="24"/>
          <w:shd w:val="clear" w:color="auto" w:fill="FFFF00"/>
        </w:rPr>
        <w:t>, 890 F.2d 817, 823 (6th Cir. 1989).</w:t>
      </w:r>
    </w:p>
    <w:p w14:paraId="71FFFD2A" w14:textId="77777777" w:rsidR="00C95B37" w:rsidRPr="00C95B37" w:rsidRDefault="00C95B37" w:rsidP="00C95B37">
      <w:pPr>
        <w:spacing w:after="0" w:line="480" w:lineRule="auto"/>
        <w:ind w:firstLine="720"/>
        <w:jc w:val="both"/>
        <w:rPr>
          <w:rFonts w:ascii="Times New Roman" w:eastAsia="Times New Roman" w:hAnsi="Times New Roman" w:cs="Times New Roman"/>
          <w:sz w:val="24"/>
          <w:szCs w:val="24"/>
        </w:rPr>
      </w:pPr>
      <w:r w:rsidRPr="00C95B37">
        <w:rPr>
          <w:rFonts w:ascii="Times New Roman" w:eastAsia="Times New Roman" w:hAnsi="Times New Roman" w:cs="Times New Roman"/>
          <w:color w:val="000000"/>
          <w:sz w:val="24"/>
          <w:szCs w:val="24"/>
        </w:rPr>
        <w:t xml:space="preserve">The Government’s arguments to the jury doubled down on the false testimony. </w:t>
      </w:r>
      <w:r w:rsidRPr="00C95B37">
        <w:rPr>
          <w:rFonts w:ascii="Times New Roman" w:eastAsia="Times New Roman" w:hAnsi="Times New Roman" w:cs="Times New Roman"/>
          <w:color w:val="000000"/>
          <w:sz w:val="24"/>
          <w:szCs w:val="24"/>
          <w:shd w:val="clear" w:color="auto" w:fill="FFFF00"/>
        </w:rPr>
        <w:t xml:space="preserve">In its </w:t>
      </w:r>
      <w:r w:rsidRPr="00C95B37">
        <w:rPr>
          <w:rFonts w:ascii="Times New Roman" w:eastAsia="Times New Roman" w:hAnsi="Times New Roman" w:cs="Times New Roman"/>
          <w:color w:val="000000"/>
          <w:sz w:val="24"/>
          <w:szCs w:val="24"/>
        </w:rPr>
        <w:t xml:space="preserve">opening statement, the Government misrepresented that the “evidence will show that about 96 </w:t>
      </w:r>
      <w:r w:rsidRPr="00C95B37">
        <w:rPr>
          <w:rFonts w:ascii="Times New Roman" w:eastAsia="Times New Roman" w:hAnsi="Times New Roman" w:cs="Times New Roman"/>
          <w:color w:val="000000"/>
          <w:sz w:val="24"/>
          <w:szCs w:val="24"/>
        </w:rPr>
        <w:lastRenderedPageBreak/>
        <w:t xml:space="preserve">percent of the participants in the pyramid scheme lost money.” (R.485,#3735.) </w:t>
      </w:r>
      <w:r w:rsidRPr="00C95B37">
        <w:rPr>
          <w:rFonts w:ascii="Times New Roman" w:eastAsia="Times New Roman" w:hAnsi="Times New Roman" w:cs="Times New Roman"/>
          <w:color w:val="000000"/>
          <w:sz w:val="24"/>
          <w:szCs w:val="24"/>
          <w:shd w:val="clear" w:color="auto" w:fill="FFFF00"/>
        </w:rPr>
        <w:t>However</w:t>
      </w:r>
      <w:r w:rsidRPr="00C95B37">
        <w:rPr>
          <w:rFonts w:ascii="Times New Roman" w:eastAsia="Times New Roman" w:hAnsi="Times New Roman" w:cs="Times New Roman"/>
          <w:color w:val="000000"/>
          <w:sz w:val="24"/>
          <w:szCs w:val="24"/>
        </w:rPr>
        <w:t>, the government did not have evidence to show the percentage of participants who lost money. </w:t>
      </w:r>
    </w:p>
    <w:p w14:paraId="04A027BA" w14:textId="77777777" w:rsidR="00C95B37" w:rsidRPr="00C95B37" w:rsidRDefault="00C95B37" w:rsidP="00C95B37">
      <w:pPr>
        <w:spacing w:after="0" w:line="480" w:lineRule="auto"/>
        <w:ind w:firstLine="720"/>
        <w:jc w:val="both"/>
        <w:rPr>
          <w:rFonts w:ascii="Times New Roman" w:eastAsia="Times New Roman" w:hAnsi="Times New Roman" w:cs="Times New Roman"/>
          <w:sz w:val="24"/>
          <w:szCs w:val="24"/>
        </w:rPr>
      </w:pPr>
      <w:r w:rsidRPr="00C95B37">
        <w:rPr>
          <w:rFonts w:ascii="Times New Roman" w:eastAsia="Times New Roman" w:hAnsi="Times New Roman" w:cs="Times New Roman"/>
          <w:color w:val="000000"/>
          <w:sz w:val="24"/>
          <w:szCs w:val="24"/>
        </w:rPr>
        <w:t>In closing, the Government told the jury how great the data was and how it showed exactly how things played out at I2G:  “And importantly</w:t>
      </w:r>
      <w:r w:rsidRPr="00C95B37">
        <w:rPr>
          <w:rFonts w:ascii="Times New Roman" w:eastAsia="Times New Roman" w:hAnsi="Times New Roman" w:cs="Times New Roman"/>
          <w:color w:val="000000"/>
          <w:sz w:val="24"/>
          <w:szCs w:val="24"/>
          <w:shd w:val="clear" w:color="auto" w:fill="FFFF00"/>
        </w:rPr>
        <w:t xml:space="preserve">, in </w:t>
      </w:r>
      <w:r w:rsidRPr="00C95B37">
        <w:rPr>
          <w:rFonts w:ascii="Times New Roman" w:eastAsia="Times New Roman" w:hAnsi="Times New Roman" w:cs="Times New Roman"/>
          <w:color w:val="000000"/>
          <w:sz w:val="24"/>
          <w:szCs w:val="24"/>
        </w:rPr>
        <w:t>the end, Dr. Keep said that he had never had data like this. He had never had access to data like this of exactly how everything played out.” (R.671,#7692.) That simply was not true.</w:t>
      </w:r>
    </w:p>
    <w:p w14:paraId="0F20BA9A" w14:textId="77777777" w:rsidR="00C95B37" w:rsidRPr="00C95B37" w:rsidRDefault="00C95B37" w:rsidP="00C95B37">
      <w:pPr>
        <w:spacing w:after="0" w:line="480" w:lineRule="auto"/>
        <w:ind w:firstLine="720"/>
        <w:jc w:val="both"/>
        <w:rPr>
          <w:rFonts w:ascii="Times New Roman" w:eastAsia="Times New Roman" w:hAnsi="Times New Roman" w:cs="Times New Roman"/>
          <w:sz w:val="24"/>
          <w:szCs w:val="24"/>
        </w:rPr>
      </w:pPr>
      <w:r w:rsidRPr="00C95B37">
        <w:rPr>
          <w:rFonts w:ascii="Times New Roman" w:eastAsia="Times New Roman" w:hAnsi="Times New Roman" w:cs="Times New Roman"/>
          <w:color w:val="000000"/>
          <w:sz w:val="24"/>
          <w:szCs w:val="24"/>
        </w:rPr>
        <w:t>The Government hammered home the false testimony:</w:t>
      </w:r>
    </w:p>
    <w:p w14:paraId="75A369FA" w14:textId="77777777" w:rsidR="00C95B37" w:rsidRPr="00C95B37" w:rsidRDefault="00C95B37" w:rsidP="00C95B37">
      <w:pPr>
        <w:spacing w:after="0" w:line="240" w:lineRule="auto"/>
        <w:ind w:left="720" w:right="720"/>
        <w:jc w:val="both"/>
        <w:rPr>
          <w:rFonts w:ascii="Times New Roman" w:eastAsia="Times New Roman" w:hAnsi="Times New Roman" w:cs="Times New Roman"/>
          <w:sz w:val="24"/>
          <w:szCs w:val="24"/>
        </w:rPr>
      </w:pPr>
      <w:r w:rsidRPr="00C95B37">
        <w:rPr>
          <w:rFonts w:ascii="Times New Roman" w:eastAsia="Times New Roman" w:hAnsi="Times New Roman" w:cs="Times New Roman"/>
          <w:color w:val="000000"/>
          <w:sz w:val="24"/>
          <w:szCs w:val="24"/>
        </w:rPr>
        <w:t>Then [Keep] said let’s look at the actual situation, and he looked at the data. And in the actual data, he testified to you that 96 percent of the people, 96 percent of the participants lost money. And look at that spreadsheet, 101I, the participant gain/loss, 96 percent. That’s what he testified lost.</w:t>
      </w:r>
    </w:p>
    <w:p w14:paraId="19259954" w14:textId="77777777" w:rsidR="00C95B37" w:rsidRPr="00C95B37" w:rsidRDefault="00C95B37" w:rsidP="00C95B37">
      <w:pPr>
        <w:spacing w:after="0" w:line="240" w:lineRule="auto"/>
        <w:rPr>
          <w:rFonts w:ascii="Times New Roman" w:eastAsia="Times New Roman" w:hAnsi="Times New Roman" w:cs="Times New Roman"/>
          <w:sz w:val="24"/>
          <w:szCs w:val="24"/>
        </w:rPr>
      </w:pPr>
    </w:p>
    <w:p w14:paraId="5277E895" w14:textId="77777777" w:rsidR="00C95B37" w:rsidRPr="00C95B37" w:rsidRDefault="00C95B37" w:rsidP="00C95B37">
      <w:pPr>
        <w:spacing w:after="0" w:line="480" w:lineRule="auto"/>
        <w:jc w:val="both"/>
        <w:rPr>
          <w:rFonts w:ascii="Times New Roman" w:eastAsia="Times New Roman" w:hAnsi="Times New Roman" w:cs="Times New Roman"/>
          <w:sz w:val="24"/>
          <w:szCs w:val="24"/>
        </w:rPr>
      </w:pPr>
      <w:r w:rsidRPr="00C95B37">
        <w:rPr>
          <w:rFonts w:ascii="Times New Roman" w:eastAsia="Times New Roman" w:hAnsi="Times New Roman" w:cs="Times New Roman"/>
          <w:color w:val="000000"/>
          <w:sz w:val="24"/>
          <w:szCs w:val="24"/>
        </w:rPr>
        <w:t>(R.671,#7691.) </w:t>
      </w:r>
    </w:p>
    <w:p w14:paraId="5D227764" w14:textId="77777777" w:rsidR="00C95B37" w:rsidRPr="00C95B37" w:rsidRDefault="00C95B37" w:rsidP="00C95B37">
      <w:pPr>
        <w:spacing w:after="0" w:line="480" w:lineRule="auto"/>
        <w:ind w:firstLine="720"/>
        <w:jc w:val="both"/>
        <w:rPr>
          <w:rFonts w:ascii="Times New Roman" w:eastAsia="Times New Roman" w:hAnsi="Times New Roman" w:cs="Times New Roman"/>
          <w:sz w:val="24"/>
          <w:szCs w:val="24"/>
        </w:rPr>
      </w:pPr>
      <w:r w:rsidRPr="00C95B37">
        <w:rPr>
          <w:rFonts w:ascii="Times New Roman" w:eastAsia="Times New Roman" w:hAnsi="Times New Roman" w:cs="Times New Roman"/>
          <w:color w:val="000000"/>
          <w:sz w:val="24"/>
          <w:szCs w:val="24"/>
        </w:rPr>
        <w:t xml:space="preserve">The Government’s reliance on </w:t>
      </w:r>
      <w:r w:rsidRPr="00C95B37">
        <w:rPr>
          <w:rFonts w:ascii="Times New Roman" w:eastAsia="Times New Roman" w:hAnsi="Times New Roman" w:cs="Times New Roman"/>
          <w:i/>
          <w:iCs/>
          <w:color w:val="000000"/>
          <w:sz w:val="24"/>
          <w:szCs w:val="24"/>
        </w:rPr>
        <w:t xml:space="preserve">Ward </w:t>
      </w:r>
      <w:r w:rsidRPr="00C95B37">
        <w:rPr>
          <w:rFonts w:ascii="Times New Roman" w:eastAsia="Times New Roman" w:hAnsi="Times New Roman" w:cs="Times New Roman"/>
          <w:color w:val="000000"/>
          <w:sz w:val="24"/>
          <w:szCs w:val="24"/>
        </w:rPr>
        <w:t xml:space="preserve">is misplaced. </w:t>
      </w:r>
      <w:r w:rsidRPr="00C95B37">
        <w:rPr>
          <w:rFonts w:ascii="Times New Roman" w:eastAsia="Times New Roman" w:hAnsi="Times New Roman" w:cs="Times New Roman"/>
          <w:i/>
          <w:iCs/>
          <w:color w:val="000000"/>
          <w:sz w:val="24"/>
          <w:szCs w:val="24"/>
        </w:rPr>
        <w:t>Ward</w:t>
      </w:r>
      <w:r w:rsidRPr="00C95B37">
        <w:rPr>
          <w:rFonts w:ascii="Times New Roman" w:eastAsia="Times New Roman" w:hAnsi="Times New Roman" w:cs="Times New Roman"/>
          <w:color w:val="000000"/>
          <w:sz w:val="24"/>
          <w:szCs w:val="24"/>
        </w:rPr>
        <w:t xml:space="preserve"> addressed perjury on a collateral issue where the perjured testimony was brought to the jury's attention. Here, the testimony was on the central issue in the case, and its falsity was not made known to the jury. Furthermore, Hosseinipour did not have access to this data and had no way of knowing that the Government would elicit false testimony. Reynolds would not talk to the defendants, so they could not learn more about the documents produced before</w:t>
      </w:r>
      <w:r w:rsidRPr="00C95B37">
        <w:rPr>
          <w:rFonts w:ascii="Times New Roman" w:eastAsia="Times New Roman" w:hAnsi="Times New Roman" w:cs="Times New Roman"/>
          <w:color w:val="000000"/>
          <w:sz w:val="24"/>
          <w:szCs w:val="24"/>
          <w:shd w:val="clear" w:color="auto" w:fill="FFFF00"/>
        </w:rPr>
        <w:t xml:space="preserve"> the trial.</w:t>
      </w:r>
      <w:r w:rsidRPr="00C95B37">
        <w:rPr>
          <w:rFonts w:ascii="Times New Roman" w:eastAsia="Times New Roman" w:hAnsi="Times New Roman" w:cs="Times New Roman"/>
          <w:color w:val="000000"/>
          <w:sz w:val="24"/>
          <w:szCs w:val="24"/>
        </w:rPr>
        <w:t xml:space="preserve"> (R.681,#8326.) Her ineffective counsel would have had to ask questions to which he did not know the answer to uncover that the evidence was false. </w:t>
      </w:r>
      <w:r w:rsidRPr="00C95B37">
        <w:rPr>
          <w:rFonts w:ascii="Times New Roman" w:eastAsia="Times New Roman" w:hAnsi="Times New Roman" w:cs="Times New Roman"/>
          <w:i/>
          <w:iCs/>
          <w:color w:val="000000"/>
          <w:sz w:val="24"/>
          <w:szCs w:val="24"/>
        </w:rPr>
        <w:t>De Freitas v. Hertz Corp.</w:t>
      </w:r>
      <w:r w:rsidRPr="00C95B37">
        <w:rPr>
          <w:rFonts w:ascii="Times New Roman" w:eastAsia="Times New Roman" w:hAnsi="Times New Roman" w:cs="Times New Roman"/>
          <w:color w:val="000000"/>
          <w:sz w:val="24"/>
          <w:szCs w:val="24"/>
        </w:rPr>
        <w:t>, 2024 U.S. Dist. LEXIS 45167, at *22 (D. Nev. Mar. 13, 2024)(noting “cardinal rule of</w:t>
      </w:r>
      <w:r w:rsidRPr="00C95B37">
        <w:rPr>
          <w:rFonts w:ascii="Times New Roman" w:eastAsia="Times New Roman" w:hAnsi="Times New Roman" w:cs="Times New Roman"/>
          <w:color w:val="000000"/>
          <w:sz w:val="24"/>
          <w:szCs w:val="24"/>
          <w:shd w:val="clear" w:color="auto" w:fill="FFFF00"/>
        </w:rPr>
        <w:t xml:space="preserve"> cross-examination” </w:t>
      </w:r>
      <w:r w:rsidRPr="00C95B37">
        <w:rPr>
          <w:rFonts w:ascii="Times New Roman" w:eastAsia="Times New Roman" w:hAnsi="Times New Roman" w:cs="Times New Roman"/>
          <w:color w:val="000000"/>
          <w:sz w:val="24"/>
          <w:szCs w:val="24"/>
        </w:rPr>
        <w:t xml:space="preserve">is “asking questions at trial that he didn’t know the answer to”). The Government again makes one argument to the court and another to this Court. Below, the Government argued that the defense counsel could not understand the data without Reynolds. (R.718,#11354.) Now, the Government argues that defense counsel had all it needed. However, the Government never told defense counsel what it purported 101i to be, what its </w:t>
      </w:r>
      <w:r w:rsidRPr="00C95B37">
        <w:rPr>
          <w:rFonts w:ascii="Times New Roman" w:eastAsia="Times New Roman" w:hAnsi="Times New Roman" w:cs="Times New Roman"/>
          <w:color w:val="000000"/>
          <w:sz w:val="24"/>
          <w:szCs w:val="24"/>
        </w:rPr>
        <w:lastRenderedPageBreak/>
        <w:t>witnesses testified 101i to be, and the central opinion of Keep were all false. This was not a situation of the parties having the same information, and the cases relied on by the Government are inapposite. The Government obtained 101i from a specific request from Reynolds and did not share that request with defense counsel, and the Government did not even produce a 302 to show what the request was. The false evidence that the Government put on could not be corrected merely by cross-examination, and its arguments that such improprieties should be left unchecked should be rejected in full. </w:t>
      </w:r>
    </w:p>
    <w:p w14:paraId="0E4B1A50" w14:textId="77777777" w:rsidR="00C95B37" w:rsidRPr="00C95B37" w:rsidRDefault="00C95B37" w:rsidP="00C95B37">
      <w:pPr>
        <w:spacing w:after="0" w:line="480" w:lineRule="auto"/>
        <w:ind w:firstLine="720"/>
        <w:jc w:val="both"/>
        <w:rPr>
          <w:rFonts w:ascii="Times New Roman" w:eastAsia="Times New Roman" w:hAnsi="Times New Roman" w:cs="Times New Roman"/>
          <w:sz w:val="24"/>
          <w:szCs w:val="24"/>
        </w:rPr>
      </w:pPr>
      <w:r w:rsidRPr="00C95B37">
        <w:rPr>
          <w:rFonts w:ascii="Times New Roman" w:eastAsia="Times New Roman" w:hAnsi="Times New Roman" w:cs="Times New Roman"/>
          <w:color w:val="000000"/>
          <w:sz w:val="24"/>
          <w:szCs w:val="24"/>
        </w:rPr>
        <w:t>The Government knew or should have known 101i and the testimony related to it was false. The Government subpoenaed 101i. (R.498,#4217.) The Government claims it sent “specific” subpoenas for “specific documents.” (R.681,#8324-25.) The Government met with Reynolds on June 22, 2022. (</w:t>
      </w:r>
      <w:r w:rsidRPr="00C95B37">
        <w:rPr>
          <w:rFonts w:ascii="Times New Roman" w:eastAsia="Times New Roman" w:hAnsi="Times New Roman" w:cs="Times New Roman"/>
          <w:i/>
          <w:iCs/>
          <w:color w:val="000000"/>
          <w:sz w:val="24"/>
          <w:szCs w:val="24"/>
        </w:rPr>
        <w:t>Id.</w:t>
      </w:r>
      <w:r w:rsidRPr="00C95B37">
        <w:rPr>
          <w:rFonts w:ascii="Times New Roman" w:eastAsia="Times New Roman" w:hAnsi="Times New Roman" w:cs="Times New Roman"/>
          <w:color w:val="000000"/>
          <w:sz w:val="24"/>
          <w:szCs w:val="24"/>
        </w:rPr>
        <w:t xml:space="preserve">) The next day, Reynolds created 101i. (10/27/2023CD, 101i properties showing creation date of June 23, 2022.) According to an article on the FTC’s website, the expected loss rate would be around 99.6%. JON M. TAYLOR, THE CASE (FOR AND) AGAINST MULTI-LEVEL MARKETING, CONSUMER AWARENESS INST. 7-2 (2012). The Government wanted to show a high loss rate. By sending a “specific” subpoena for a “specific document,” the Government was able to have Reynolds filter out commissions, ignore refunds, including fraudulent transactions, and otherwise provide a spreadsheet that grossly inflated the loss rate at I2G. This data further omitted any commission payments outside his system, which were millions. The Government then had its witnesses falsely testify that 101i showed all gains and losses in Reynolds’ system, that it had all gains and losses for I2G participants, and that the loss rate at I2G was 96%. All this evidence was false </w:t>
      </w:r>
      <w:r w:rsidRPr="00C95B37">
        <w:rPr>
          <w:rFonts w:ascii="Times New Roman" w:eastAsia="Times New Roman" w:hAnsi="Times New Roman" w:cs="Times New Roman"/>
          <w:color w:val="000000"/>
          <w:sz w:val="24"/>
          <w:szCs w:val="24"/>
          <w:shd w:val="clear" w:color="auto" w:fill="FFFF00"/>
        </w:rPr>
        <w:t xml:space="preserve">and related </w:t>
      </w:r>
      <w:r w:rsidRPr="00C95B37">
        <w:rPr>
          <w:rFonts w:ascii="Times New Roman" w:eastAsia="Times New Roman" w:hAnsi="Times New Roman" w:cs="Times New Roman"/>
          <w:color w:val="000000"/>
          <w:sz w:val="24"/>
          <w:szCs w:val="24"/>
        </w:rPr>
        <w:t xml:space="preserve">to a document the government requested, which was created one day after the government met with Reynolds. 101i was contrary to data that </w:t>
      </w:r>
      <w:r w:rsidRPr="00C95B37">
        <w:rPr>
          <w:rFonts w:ascii="Times New Roman" w:eastAsia="Times New Roman" w:hAnsi="Times New Roman" w:cs="Times New Roman"/>
          <w:color w:val="000000"/>
          <w:sz w:val="24"/>
          <w:szCs w:val="24"/>
        </w:rPr>
        <w:lastRenderedPageBreak/>
        <w:t>Reynolds had already given the Government. The Government knew or should have known the evidence and testimony was false.</w:t>
      </w:r>
    </w:p>
    <w:p w14:paraId="723D2083" w14:textId="77777777" w:rsidR="00C95B37" w:rsidRPr="00C95B37" w:rsidRDefault="00C95B37" w:rsidP="00C95B37">
      <w:pPr>
        <w:spacing w:after="0" w:line="480" w:lineRule="auto"/>
        <w:ind w:firstLine="720"/>
        <w:jc w:val="both"/>
        <w:rPr>
          <w:rFonts w:ascii="Times New Roman" w:eastAsia="Times New Roman" w:hAnsi="Times New Roman" w:cs="Times New Roman"/>
          <w:sz w:val="24"/>
          <w:szCs w:val="24"/>
        </w:rPr>
      </w:pPr>
      <w:r w:rsidRPr="00C95B37">
        <w:rPr>
          <w:rFonts w:ascii="Times New Roman" w:eastAsia="Times New Roman" w:hAnsi="Times New Roman" w:cs="Times New Roman"/>
          <w:color w:val="000000"/>
          <w:sz w:val="24"/>
          <w:szCs w:val="24"/>
        </w:rPr>
        <w:t xml:space="preserve">“In order to demonstrate a reasonable probability, the petitioner must ‘sufficiently undermine[] confidence in the outcome of the trial.’” </w:t>
      </w:r>
      <w:r w:rsidRPr="00C95B37">
        <w:rPr>
          <w:rFonts w:ascii="Times New Roman" w:eastAsia="Times New Roman" w:hAnsi="Times New Roman" w:cs="Times New Roman"/>
          <w:i/>
          <w:iCs/>
          <w:color w:val="000000"/>
          <w:sz w:val="24"/>
          <w:szCs w:val="24"/>
        </w:rPr>
        <w:t>McNeill v. Bagley</w:t>
      </w:r>
      <w:r w:rsidRPr="00C95B37">
        <w:rPr>
          <w:rFonts w:ascii="Times New Roman" w:eastAsia="Times New Roman" w:hAnsi="Times New Roman" w:cs="Times New Roman"/>
          <w:color w:val="000000"/>
          <w:sz w:val="24"/>
          <w:szCs w:val="24"/>
        </w:rPr>
        <w:t xml:space="preserve">, 10 F.4th 588, 598 (6th Cir. 2021). The convictions should be set aside where “the knowingly misleading testimony is offered by a ‘key prosecution witness.’” </w:t>
      </w:r>
      <w:r w:rsidRPr="00C95B37">
        <w:rPr>
          <w:rFonts w:ascii="Times New Roman" w:eastAsia="Times New Roman" w:hAnsi="Times New Roman" w:cs="Times New Roman"/>
          <w:i/>
          <w:iCs/>
          <w:color w:val="000000"/>
          <w:sz w:val="24"/>
          <w:szCs w:val="24"/>
        </w:rPr>
        <w:t>In re Jackson</w:t>
      </w:r>
      <w:r w:rsidRPr="00C95B37">
        <w:rPr>
          <w:rFonts w:ascii="Times New Roman" w:eastAsia="Times New Roman" w:hAnsi="Times New Roman" w:cs="Times New Roman"/>
          <w:color w:val="000000"/>
          <w:sz w:val="24"/>
          <w:szCs w:val="24"/>
        </w:rPr>
        <w:t xml:space="preserve">, 12 F.4th 604, 610-11 (6th Cir. 2021)(quoting </w:t>
      </w:r>
      <w:r w:rsidRPr="00C95B37">
        <w:rPr>
          <w:rFonts w:ascii="Times New Roman" w:eastAsia="Times New Roman" w:hAnsi="Times New Roman" w:cs="Times New Roman"/>
          <w:i/>
          <w:iCs/>
          <w:color w:val="000000"/>
          <w:sz w:val="24"/>
          <w:szCs w:val="24"/>
        </w:rPr>
        <w:t>Carter v. Mitchell</w:t>
      </w:r>
      <w:r w:rsidRPr="00C95B37">
        <w:rPr>
          <w:rFonts w:ascii="Times New Roman" w:eastAsia="Times New Roman" w:hAnsi="Times New Roman" w:cs="Times New Roman"/>
          <w:color w:val="000000"/>
          <w:sz w:val="24"/>
          <w:szCs w:val="24"/>
        </w:rPr>
        <w:t xml:space="preserve">, 443 F.3d 517, 535 (6th Cir. 2006)). Both Keep and Reynolds </w:t>
      </w:r>
      <w:r w:rsidRPr="00C95B37">
        <w:rPr>
          <w:rFonts w:ascii="Times New Roman" w:eastAsia="Times New Roman" w:hAnsi="Times New Roman" w:cs="Times New Roman"/>
          <w:color w:val="000000"/>
          <w:sz w:val="24"/>
          <w:szCs w:val="24"/>
          <w:shd w:val="clear" w:color="auto" w:fill="FFFF00"/>
        </w:rPr>
        <w:t xml:space="preserve">and McClelland </w:t>
      </w:r>
      <w:r w:rsidRPr="00C95B37">
        <w:rPr>
          <w:rFonts w:ascii="Times New Roman" w:eastAsia="Times New Roman" w:hAnsi="Times New Roman" w:cs="Times New Roman"/>
          <w:color w:val="000000"/>
          <w:sz w:val="24"/>
          <w:szCs w:val="24"/>
        </w:rPr>
        <w:t xml:space="preserve">were key prosecution witnesses. The false data was “gold.” It was a central issue in the government’s case, and the convictions resulted from false data and related testimony that falsely characterized the data. Against the backdrop that the spreadsheet was created two weeks before trial and </w:t>
      </w:r>
      <w:proofErr w:type="gramStart"/>
      <w:r w:rsidRPr="00C95B37">
        <w:rPr>
          <w:rFonts w:ascii="Times New Roman" w:eastAsia="Times New Roman" w:hAnsi="Times New Roman" w:cs="Times New Roman"/>
          <w:color w:val="000000"/>
          <w:sz w:val="24"/>
          <w:szCs w:val="24"/>
        </w:rPr>
        <w:t>Keep</w:t>
      </w:r>
      <w:proofErr w:type="gramEnd"/>
      <w:r w:rsidRPr="00C95B37">
        <w:rPr>
          <w:rFonts w:ascii="Times New Roman" w:eastAsia="Times New Roman" w:hAnsi="Times New Roman" w:cs="Times New Roman"/>
          <w:color w:val="000000"/>
          <w:sz w:val="24"/>
          <w:szCs w:val="24"/>
        </w:rPr>
        <w:t xml:space="preserve"> rendered new opinions on that data based on false testimony as to what the data purported to be, it is clear that the repeated false testimony by multiple witnesses that was relied on by the Government in opening and closing undermined confidence in the outcome of the trial and seriously affected the fairness and integrity of the judicial proceedings. (</w:t>
      </w:r>
      <w:r w:rsidRPr="00C95B37">
        <w:rPr>
          <w:rFonts w:ascii="Times New Roman" w:eastAsia="Times New Roman" w:hAnsi="Times New Roman" w:cs="Times New Roman"/>
          <w:i/>
          <w:iCs/>
          <w:color w:val="000000"/>
          <w:sz w:val="24"/>
          <w:szCs w:val="24"/>
        </w:rPr>
        <w:t>See</w:t>
      </w:r>
      <w:r w:rsidRPr="00C95B37">
        <w:rPr>
          <w:rFonts w:ascii="Times New Roman" w:eastAsia="Times New Roman" w:hAnsi="Times New Roman" w:cs="Times New Roman"/>
          <w:color w:val="000000"/>
          <w:sz w:val="24"/>
          <w:szCs w:val="24"/>
        </w:rPr>
        <w:t xml:space="preserve"> R.485,#3735;</w:t>
      </w:r>
      <w:r w:rsidRPr="00C95B37">
        <w:rPr>
          <w:rFonts w:ascii="Times New Roman" w:eastAsia="Times New Roman" w:hAnsi="Times New Roman" w:cs="Times New Roman"/>
          <w:i/>
          <w:iCs/>
          <w:color w:val="000000"/>
          <w:sz w:val="24"/>
          <w:szCs w:val="24"/>
        </w:rPr>
        <w:t xml:space="preserve"> </w:t>
      </w:r>
      <w:r w:rsidRPr="00C95B37">
        <w:rPr>
          <w:rFonts w:ascii="Times New Roman" w:eastAsia="Times New Roman" w:hAnsi="Times New Roman" w:cs="Times New Roman"/>
          <w:color w:val="000000"/>
          <w:sz w:val="24"/>
          <w:szCs w:val="24"/>
        </w:rPr>
        <w:t>R.487,#3747, 52, 3805, 08, 26, 27,  44-45, 47, 70, 73, 84, 85, 3925-26; 3995-96, 98; R.498 at #4131, 69-73; R.681,#8324-25; R.671,#7691-92; R.699,#10322.)  The government continues to falsely characterize the evidence in this court after the involvement of seven prosecutors; such a practice should not be tolerated. </w:t>
      </w:r>
    </w:p>
    <w:p w14:paraId="73E86B54" w14:textId="77777777" w:rsidR="0025368E" w:rsidRDefault="0025368E"/>
    <w:sectPr w:rsidR="00253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B37"/>
    <w:rsid w:val="0025368E"/>
    <w:rsid w:val="00473C6D"/>
    <w:rsid w:val="009A0E10"/>
    <w:rsid w:val="00BA50C7"/>
    <w:rsid w:val="00C9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09D0E"/>
  <w15:chartTrackingRefBased/>
  <w15:docId w15:val="{6F5A2B91-C3C2-41FC-9C46-F10151B7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67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2004</Words>
  <Characters>11124</Characters>
  <Application>Microsoft Office Word</Application>
  <DocSecurity>0</DocSecurity>
  <Lines>206</Lines>
  <Paragraphs>29</Paragraphs>
  <ScaleCrop>false</ScaleCrop>
  <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Faraday Hosseinipour</dc:creator>
  <cp:keywords/>
  <dc:description/>
  <cp:lastModifiedBy>Faraday Hosseinipour</cp:lastModifiedBy>
  <cp:revision>1</cp:revision>
  <dcterms:created xsi:type="dcterms:W3CDTF">2024-09-20T14:04:00Z</dcterms:created>
  <dcterms:modified xsi:type="dcterms:W3CDTF">2024-09-20T14:07:00Z</dcterms:modified>
</cp:coreProperties>
</file>