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2904" w14:textId="77777777" w:rsidR="00311D57" w:rsidRPr="00311D57" w:rsidRDefault="00311D57" w:rsidP="00311D57">
      <w:pPr>
        <w:spacing w:after="0" w:line="480" w:lineRule="auto"/>
        <w:jc w:val="both"/>
        <w:rPr>
          <w:rFonts w:ascii="Times New Roman" w:eastAsia="Times New Roman" w:hAnsi="Times New Roman" w:cs="Times New Roman"/>
          <w:sz w:val="24"/>
          <w:szCs w:val="24"/>
        </w:rPr>
      </w:pPr>
      <w:r w:rsidRPr="00311D57">
        <w:rPr>
          <w:rFonts w:ascii="Times New Roman" w:eastAsia="Times New Roman" w:hAnsi="Times New Roman" w:cs="Times New Roman"/>
          <w:b/>
          <w:bCs/>
          <w:color w:val="000000"/>
          <w:sz w:val="24"/>
          <w:szCs w:val="24"/>
          <w:shd w:val="clear" w:color="auto" w:fill="FFFFFF"/>
        </w:rPr>
        <w:t>Saturation is Necessary to Prove a Pyramid Scheme</w:t>
      </w:r>
    </w:p>
    <w:p w14:paraId="25374989" w14:textId="77777777" w:rsidR="00311D57" w:rsidRPr="00311D57" w:rsidRDefault="00311D57" w:rsidP="00311D57">
      <w:pPr>
        <w:spacing w:after="0" w:line="480" w:lineRule="auto"/>
        <w:jc w:val="both"/>
        <w:rPr>
          <w:rFonts w:ascii="Times New Roman" w:eastAsia="Times New Roman" w:hAnsi="Times New Roman" w:cs="Times New Roman"/>
          <w:sz w:val="24"/>
          <w:szCs w:val="24"/>
        </w:rPr>
      </w:pPr>
      <w:r w:rsidRPr="00311D57">
        <w:rPr>
          <w:rFonts w:ascii="Times New Roman" w:eastAsia="Times New Roman" w:hAnsi="Times New Roman" w:cs="Times New Roman"/>
          <w:color w:val="000000"/>
          <w:sz w:val="24"/>
          <w:szCs w:val="24"/>
        </w:rPr>
        <w:tab/>
        <w:t xml:space="preserve">In its response brief, the Government argues that market saturation is not a necessary element of a “pyramid-scheme prosecution.” (Br.36.) To the court, the Government conceded that “saturation (and thus anti-saturation) is not at issue in this case.” (R.381,#2922). </w:t>
      </w:r>
      <w:r w:rsidRPr="00311D57">
        <w:rPr>
          <w:rFonts w:ascii="Times New Roman" w:eastAsia="Times New Roman" w:hAnsi="Times New Roman" w:cs="Times New Roman"/>
          <w:color w:val="000000"/>
          <w:sz w:val="24"/>
          <w:szCs w:val="24"/>
          <w:shd w:val="clear" w:color="auto" w:fill="FFFF00"/>
        </w:rPr>
        <w:t xml:space="preserve">The Government claimed that “saturation is not the problem for the Emperor program” </w:t>
      </w:r>
      <w:r w:rsidRPr="00311D57">
        <w:rPr>
          <w:rFonts w:ascii="Times New Roman" w:eastAsia="Times New Roman" w:hAnsi="Times New Roman" w:cs="Times New Roman"/>
          <w:color w:val="000000"/>
          <w:sz w:val="24"/>
          <w:szCs w:val="24"/>
        </w:rPr>
        <w:t>(</w:t>
      </w:r>
      <w:r w:rsidRPr="00311D57">
        <w:rPr>
          <w:rFonts w:ascii="Times New Roman" w:eastAsia="Times New Roman" w:hAnsi="Times New Roman" w:cs="Times New Roman"/>
          <w:i/>
          <w:iCs/>
          <w:color w:val="000000"/>
          <w:sz w:val="24"/>
          <w:szCs w:val="24"/>
        </w:rPr>
        <w:t>Id.</w:t>
      </w:r>
      <w:r w:rsidRPr="00311D57">
        <w:rPr>
          <w:rFonts w:ascii="Times New Roman" w:eastAsia="Times New Roman" w:hAnsi="Times New Roman" w:cs="Times New Roman"/>
          <w:color w:val="000000"/>
          <w:sz w:val="24"/>
          <w:szCs w:val="24"/>
        </w:rPr>
        <w:t xml:space="preserve"> at #2923). However, saturation is what makes a pyramid scheme a pyramid scheme. “Pyramid schemes are said to be inherently fraudulent because they must eventually collapse.” </w:t>
      </w:r>
      <w:r w:rsidRPr="00311D57">
        <w:rPr>
          <w:rFonts w:ascii="Times New Roman" w:eastAsia="Times New Roman" w:hAnsi="Times New Roman" w:cs="Times New Roman"/>
          <w:i/>
          <w:iCs/>
          <w:color w:val="000000"/>
          <w:sz w:val="24"/>
          <w:szCs w:val="24"/>
        </w:rPr>
        <w:t>Webster v. Omnitrition Int’l</w:t>
      </w:r>
      <w:r w:rsidRPr="00311D57">
        <w:rPr>
          <w:rFonts w:ascii="Times New Roman" w:eastAsia="Times New Roman" w:hAnsi="Times New Roman" w:cs="Times New Roman"/>
          <w:color w:val="000000"/>
          <w:sz w:val="24"/>
          <w:szCs w:val="24"/>
        </w:rPr>
        <w:t xml:space="preserve">, 79 F.3d 776, 781 (9th Cir. 1996). , Thus, to be a pyramid scheme, “the Plan, as conceived by the parties and represented to the purchasers, could not possibly work.” </w:t>
      </w:r>
      <w:r w:rsidRPr="00311D57">
        <w:rPr>
          <w:rFonts w:ascii="Times New Roman" w:eastAsia="Times New Roman" w:hAnsi="Times New Roman" w:cs="Times New Roman"/>
          <w:i/>
          <w:iCs/>
          <w:color w:val="000000"/>
          <w:sz w:val="24"/>
          <w:szCs w:val="24"/>
        </w:rPr>
        <w:t>Blachly v. U.S.</w:t>
      </w:r>
      <w:r w:rsidRPr="00311D57">
        <w:rPr>
          <w:rFonts w:ascii="Times New Roman" w:eastAsia="Times New Roman" w:hAnsi="Times New Roman" w:cs="Times New Roman"/>
          <w:color w:val="000000"/>
          <w:sz w:val="24"/>
          <w:szCs w:val="24"/>
        </w:rPr>
        <w:t xml:space="preserve">, 380 F.2d 665, 671 (5th Cir. 1967); </w:t>
      </w:r>
      <w:r w:rsidRPr="00311D57">
        <w:rPr>
          <w:rFonts w:ascii="Times New Roman" w:eastAsia="Times New Roman" w:hAnsi="Times New Roman" w:cs="Times New Roman"/>
          <w:i/>
          <w:iCs/>
          <w:color w:val="000000"/>
          <w:sz w:val="24"/>
          <w:szCs w:val="24"/>
        </w:rPr>
        <w:t>see also Stull v. YTB Int’l, Inc.</w:t>
      </w:r>
      <w:r w:rsidRPr="00311D57">
        <w:rPr>
          <w:rFonts w:ascii="Times New Roman" w:eastAsia="Times New Roman" w:hAnsi="Times New Roman" w:cs="Times New Roman"/>
          <w:color w:val="000000"/>
          <w:sz w:val="24"/>
          <w:szCs w:val="24"/>
        </w:rPr>
        <w:t xml:space="preserve">, 2011 U.S. Dist. LEXIS 109376, at *19 (S.D. Ill. Sep. 26, 2011)(“A legitimate multi-level marketing ("MLM") scheme does not have such a propensity for saturation.”); </w:t>
      </w:r>
      <w:r w:rsidRPr="00311D57">
        <w:rPr>
          <w:rFonts w:ascii="Times New Roman" w:eastAsia="Times New Roman" w:hAnsi="Times New Roman" w:cs="Times New Roman"/>
          <w:i/>
          <w:iCs/>
          <w:color w:val="000000"/>
          <w:sz w:val="24"/>
          <w:szCs w:val="24"/>
        </w:rPr>
        <w:t>FTC v. Skybiz.com</w:t>
      </w:r>
      <w:r w:rsidRPr="00311D57">
        <w:rPr>
          <w:rFonts w:ascii="Times New Roman" w:eastAsia="Times New Roman" w:hAnsi="Times New Roman" w:cs="Times New Roman"/>
          <w:color w:val="000000"/>
          <w:sz w:val="24"/>
          <w:szCs w:val="24"/>
        </w:rPr>
        <w:t>, 2001 U.S. Dist. LEXIS 26175, at *28-29 (N.D. Okla. Aug. 31, 2001)(“[U]nlawful pyramid scheme will saturate the market of potential participants to the point where it is unrealistic to expect that such a large number of individuals will become involved and the pyramid must therefore eventually collapse.”)</w:t>
      </w:r>
    </w:p>
    <w:p w14:paraId="550CC065" w14:textId="77777777" w:rsidR="00311D57" w:rsidRPr="00311D57" w:rsidRDefault="00311D57" w:rsidP="00311D57">
      <w:pPr>
        <w:spacing w:after="0" w:line="480" w:lineRule="auto"/>
        <w:ind w:firstLine="720"/>
        <w:jc w:val="both"/>
        <w:rPr>
          <w:rFonts w:ascii="Times New Roman" w:eastAsia="Times New Roman" w:hAnsi="Times New Roman" w:cs="Times New Roman"/>
          <w:sz w:val="24"/>
          <w:szCs w:val="24"/>
        </w:rPr>
      </w:pPr>
      <w:r w:rsidRPr="00311D57">
        <w:rPr>
          <w:rFonts w:ascii="Times New Roman" w:eastAsia="Times New Roman" w:hAnsi="Times New Roman" w:cs="Times New Roman"/>
          <w:color w:val="000000"/>
          <w:sz w:val="24"/>
          <w:szCs w:val="24"/>
          <w:shd w:val="clear" w:color="auto" w:fill="FFFFFF"/>
        </w:rPr>
        <w:t xml:space="preserve">“It is axiomatic, of course, that the government must prove all elements of a crime beyond a reasonable doubt… When “an affirmative defense bears a necessary relationship to an element of the charged offense, the burden of proof does not shift to </w:t>
      </w:r>
      <w:r w:rsidRPr="00311D57">
        <w:rPr>
          <w:rFonts w:ascii="Times New Roman" w:eastAsia="Times New Roman" w:hAnsi="Times New Roman" w:cs="Times New Roman"/>
          <w:color w:val="000000"/>
          <w:sz w:val="24"/>
          <w:szCs w:val="24"/>
          <w:shd w:val="clear" w:color="auto" w:fill="FFFF00"/>
        </w:rPr>
        <w:t>the defendant.</w:t>
      </w:r>
      <w:r w:rsidRPr="00311D57">
        <w:rPr>
          <w:rFonts w:ascii="Times New Roman" w:eastAsia="Times New Roman" w:hAnsi="Times New Roman" w:cs="Times New Roman"/>
          <w:color w:val="000000"/>
          <w:sz w:val="24"/>
          <w:szCs w:val="24"/>
          <w:shd w:val="clear" w:color="auto" w:fill="FFFFFF"/>
        </w:rPr>
        <w:t xml:space="preserve">” </w:t>
      </w:r>
      <w:r w:rsidRPr="00311D57">
        <w:rPr>
          <w:rFonts w:ascii="Times New Roman" w:eastAsia="Times New Roman" w:hAnsi="Times New Roman" w:cs="Times New Roman"/>
          <w:i/>
          <w:iCs/>
          <w:color w:val="000000"/>
          <w:sz w:val="24"/>
          <w:szCs w:val="24"/>
          <w:shd w:val="clear" w:color="auto" w:fill="FFFFFF"/>
        </w:rPr>
        <w:t>U.S. v. Brown</w:t>
      </w:r>
      <w:r w:rsidRPr="00311D57">
        <w:rPr>
          <w:rFonts w:ascii="Times New Roman" w:eastAsia="Times New Roman" w:hAnsi="Times New Roman" w:cs="Times New Roman"/>
          <w:color w:val="000000"/>
          <w:sz w:val="24"/>
          <w:szCs w:val="24"/>
          <w:shd w:val="clear" w:color="auto" w:fill="FFFFFF"/>
        </w:rPr>
        <w:t xml:space="preserve">, 367 F.3d 549, 556 (6th Cir. 2004). Here, the Government was required to prove saturation and failed. Therefore, the sale of Emperor packages was not a pyramid scheme. Even if the burden was on the defendants, the evidence conclusively shows that the Government failed to prove saturation. Indeed, they conceded that saturation was not </w:t>
      </w:r>
      <w:r w:rsidRPr="00311D57">
        <w:rPr>
          <w:rFonts w:ascii="Times New Roman" w:eastAsia="Times New Roman" w:hAnsi="Times New Roman" w:cs="Times New Roman"/>
          <w:color w:val="000000"/>
          <w:sz w:val="24"/>
          <w:szCs w:val="24"/>
          <w:shd w:val="clear" w:color="auto" w:fill="FFFF00"/>
        </w:rPr>
        <w:t>an</w:t>
      </w:r>
      <w:r w:rsidRPr="00311D57">
        <w:rPr>
          <w:rFonts w:ascii="Times New Roman" w:eastAsia="Times New Roman" w:hAnsi="Times New Roman" w:cs="Times New Roman"/>
          <w:color w:val="000000"/>
          <w:sz w:val="24"/>
          <w:szCs w:val="24"/>
          <w:shd w:val="clear" w:color="auto" w:fill="FFFFFF"/>
        </w:rPr>
        <w:t xml:space="preserve"> issue.</w:t>
      </w:r>
    </w:p>
    <w:p w14:paraId="653DC24C" w14:textId="77777777" w:rsidR="00311D57" w:rsidRPr="00311D57" w:rsidRDefault="00311D57" w:rsidP="00311D57">
      <w:pPr>
        <w:spacing w:after="0" w:line="480" w:lineRule="auto"/>
        <w:jc w:val="both"/>
        <w:rPr>
          <w:rFonts w:ascii="Times New Roman" w:eastAsia="Times New Roman" w:hAnsi="Times New Roman" w:cs="Times New Roman"/>
          <w:sz w:val="24"/>
          <w:szCs w:val="24"/>
        </w:rPr>
      </w:pPr>
      <w:r w:rsidRPr="00311D57">
        <w:rPr>
          <w:rFonts w:ascii="Times New Roman" w:eastAsia="Times New Roman" w:hAnsi="Times New Roman" w:cs="Times New Roman"/>
          <w:b/>
          <w:bCs/>
          <w:color w:val="000000"/>
          <w:sz w:val="24"/>
          <w:szCs w:val="24"/>
          <w:shd w:val="clear" w:color="auto" w:fill="FFFFFF"/>
        </w:rPr>
        <w:lastRenderedPageBreak/>
        <w:tab/>
      </w:r>
      <w:r w:rsidRPr="00311D57">
        <w:rPr>
          <w:rFonts w:ascii="Times New Roman" w:eastAsia="Times New Roman" w:hAnsi="Times New Roman" w:cs="Times New Roman"/>
          <w:color w:val="000000"/>
          <w:sz w:val="24"/>
          <w:szCs w:val="24"/>
          <w:shd w:val="clear" w:color="auto" w:fill="FFFFFF"/>
        </w:rPr>
        <w:t xml:space="preserve">The definition of pyramid scheme was incorrect, and the jury instructions were incomplete because they did not instruct on saturation. The Government conceded that the Gold definition of an illegal pyramid scheme from a </w:t>
      </w:r>
      <w:r w:rsidRPr="00311D57">
        <w:rPr>
          <w:rFonts w:ascii="Times New Roman" w:eastAsia="Times New Roman" w:hAnsi="Times New Roman" w:cs="Times New Roman"/>
          <w:color w:val="000000"/>
          <w:sz w:val="24"/>
          <w:szCs w:val="24"/>
          <w:shd w:val="clear" w:color="auto" w:fill="FFFF00"/>
        </w:rPr>
        <w:t>forty-year-old</w:t>
      </w:r>
      <w:r w:rsidRPr="00311D57">
        <w:rPr>
          <w:rFonts w:ascii="Times New Roman" w:eastAsia="Times New Roman" w:hAnsi="Times New Roman" w:cs="Times New Roman"/>
          <w:color w:val="000000"/>
          <w:sz w:val="24"/>
          <w:szCs w:val="24"/>
          <w:shd w:val="clear" w:color="auto" w:fill="FFFFFF"/>
        </w:rPr>
        <w:t xml:space="preserve"> FTC “should be updated.” (R.430,#3313.) This is in line with </w:t>
      </w:r>
      <w:r w:rsidRPr="00311D57">
        <w:rPr>
          <w:rFonts w:ascii="Times New Roman" w:eastAsia="Times New Roman" w:hAnsi="Times New Roman" w:cs="Times New Roman"/>
          <w:i/>
          <w:iCs/>
          <w:color w:val="000000"/>
          <w:sz w:val="24"/>
          <w:szCs w:val="24"/>
          <w:shd w:val="clear" w:color="auto" w:fill="FFFFFF"/>
        </w:rPr>
        <w:t>Gold</w:t>
      </w:r>
      <w:r w:rsidRPr="00311D57">
        <w:rPr>
          <w:rFonts w:ascii="Times New Roman" w:eastAsia="Times New Roman" w:hAnsi="Times New Roman" w:cs="Times New Roman"/>
          <w:color w:val="000000"/>
          <w:sz w:val="24"/>
          <w:szCs w:val="24"/>
          <w:shd w:val="clear" w:color="auto" w:fill="FFFFFF"/>
        </w:rPr>
        <w:t xml:space="preserve">: “In subsequent cases involving alleged pyramid schemes, prudent district courts might supplement the Koscot test to reflect the difference between legitimate multi-level marketing and illegal pyramids and Ponzi schemes.” </w:t>
      </w:r>
      <w:r w:rsidRPr="00311D57">
        <w:rPr>
          <w:rFonts w:ascii="Times New Roman" w:eastAsia="Times New Roman" w:hAnsi="Times New Roman" w:cs="Times New Roman"/>
          <w:i/>
          <w:iCs/>
          <w:color w:val="000000"/>
          <w:sz w:val="24"/>
          <w:szCs w:val="24"/>
          <w:shd w:val="clear" w:color="auto" w:fill="FFFFFF"/>
        </w:rPr>
        <w:t>U.S.</w:t>
      </w:r>
      <w:r w:rsidRPr="00311D57">
        <w:rPr>
          <w:rFonts w:ascii="Times New Roman" w:eastAsia="Times New Roman" w:hAnsi="Times New Roman" w:cs="Times New Roman"/>
          <w:color w:val="000000"/>
          <w:sz w:val="24"/>
          <w:szCs w:val="24"/>
          <w:shd w:val="clear" w:color="auto" w:fill="FFFFFF"/>
        </w:rPr>
        <w:t xml:space="preserve"> </w:t>
      </w:r>
      <w:r w:rsidRPr="00311D57">
        <w:rPr>
          <w:rFonts w:ascii="Times New Roman" w:eastAsia="Times New Roman" w:hAnsi="Times New Roman" w:cs="Times New Roman"/>
          <w:i/>
          <w:iCs/>
          <w:color w:val="000000"/>
          <w:sz w:val="24"/>
          <w:szCs w:val="24"/>
          <w:shd w:val="clear" w:color="auto" w:fill="FFFFFF"/>
        </w:rPr>
        <w:t>v. Gold Unlimited, Inc.</w:t>
      </w:r>
      <w:r w:rsidRPr="00311D57">
        <w:rPr>
          <w:rFonts w:ascii="Times New Roman" w:eastAsia="Times New Roman" w:hAnsi="Times New Roman" w:cs="Times New Roman"/>
          <w:color w:val="000000"/>
          <w:sz w:val="24"/>
          <w:szCs w:val="24"/>
          <w:shd w:val="clear" w:color="auto" w:fill="FFFFFF"/>
        </w:rPr>
        <w:t xml:space="preserve">, 177 F.3d 472, 483 (6th Cir. 1999). Since </w:t>
      </w:r>
      <w:r w:rsidRPr="00311D57">
        <w:rPr>
          <w:rFonts w:ascii="Times New Roman" w:eastAsia="Times New Roman" w:hAnsi="Times New Roman" w:cs="Times New Roman"/>
          <w:i/>
          <w:iCs/>
          <w:color w:val="000000"/>
          <w:sz w:val="24"/>
          <w:szCs w:val="24"/>
          <w:shd w:val="clear" w:color="auto" w:fill="FFFFFF"/>
        </w:rPr>
        <w:t>Gold</w:t>
      </w:r>
      <w:r w:rsidRPr="00311D57">
        <w:rPr>
          <w:rFonts w:ascii="Times New Roman" w:eastAsia="Times New Roman" w:hAnsi="Times New Roman" w:cs="Times New Roman"/>
          <w:color w:val="000000"/>
          <w:sz w:val="24"/>
          <w:szCs w:val="24"/>
          <w:shd w:val="clear" w:color="auto" w:fill="FFFFFF"/>
        </w:rPr>
        <w:t xml:space="preserve">, the Fifth Circuit, in an </w:t>
      </w:r>
      <w:r w:rsidRPr="00311D57">
        <w:rPr>
          <w:rFonts w:ascii="Times New Roman" w:eastAsia="Times New Roman" w:hAnsi="Times New Roman" w:cs="Times New Roman"/>
          <w:i/>
          <w:iCs/>
          <w:color w:val="000000"/>
          <w:sz w:val="24"/>
          <w:szCs w:val="24"/>
          <w:shd w:val="clear" w:color="auto" w:fill="FFFFFF"/>
        </w:rPr>
        <w:t>en banc</w:t>
      </w:r>
      <w:r w:rsidRPr="00311D57">
        <w:rPr>
          <w:rFonts w:ascii="Times New Roman" w:eastAsia="Times New Roman" w:hAnsi="Times New Roman" w:cs="Times New Roman"/>
          <w:color w:val="000000"/>
          <w:sz w:val="24"/>
          <w:szCs w:val="24"/>
          <w:shd w:val="clear" w:color="auto" w:fill="FFFFFF"/>
        </w:rPr>
        <w:t xml:space="preserve"> opinion, noted some potential updates:</w:t>
      </w:r>
    </w:p>
    <w:p w14:paraId="0D53D520" w14:textId="77777777" w:rsidR="00311D57" w:rsidRPr="00311D57" w:rsidRDefault="00311D57" w:rsidP="00311D57">
      <w:pPr>
        <w:spacing w:after="0" w:line="240" w:lineRule="auto"/>
        <w:ind w:left="720" w:right="720"/>
        <w:jc w:val="both"/>
        <w:rPr>
          <w:rFonts w:ascii="Times New Roman" w:eastAsia="Times New Roman" w:hAnsi="Times New Roman" w:cs="Times New Roman"/>
          <w:sz w:val="24"/>
          <w:szCs w:val="24"/>
        </w:rPr>
      </w:pPr>
      <w:r w:rsidRPr="00311D57">
        <w:rPr>
          <w:rFonts w:ascii="Times New Roman" w:eastAsia="Times New Roman" w:hAnsi="Times New Roman" w:cs="Times New Roman"/>
          <w:color w:val="000000"/>
          <w:sz w:val="24"/>
          <w:szCs w:val="24"/>
          <w:shd w:val="clear" w:color="auto" w:fill="FFFFFF"/>
        </w:rPr>
        <w:t>By definition, a pyramid scheme operates by taking money from downline recruits . . . who will never recoup their payments, and funneling the money to those at the top of the pyramid. Such schemes depend on “there [being] Peters . . . to rob for the purpose of paying Paul.” Those who lose money in a pyramid scheme necessarily do so “by reason of” the fraud because the fraud is necessary to temporarily sustain the scheme, and ultimately causes the scheme's collapse. And, those who profit from a fraudulent pyramid scheme make money only by virtue of the participation of downline investors . . . who lose money.</w:t>
      </w:r>
    </w:p>
    <w:p w14:paraId="6423D53C" w14:textId="77777777" w:rsidR="00311D57" w:rsidRPr="00311D57" w:rsidRDefault="00311D57" w:rsidP="00311D57">
      <w:pPr>
        <w:spacing w:after="0" w:line="240" w:lineRule="auto"/>
        <w:rPr>
          <w:rFonts w:ascii="Times New Roman" w:eastAsia="Times New Roman" w:hAnsi="Times New Roman" w:cs="Times New Roman"/>
          <w:sz w:val="24"/>
          <w:szCs w:val="24"/>
        </w:rPr>
      </w:pPr>
    </w:p>
    <w:p w14:paraId="4DB849DE" w14:textId="77777777" w:rsidR="00311D57" w:rsidRPr="00311D57" w:rsidRDefault="00311D57" w:rsidP="00311D57">
      <w:pPr>
        <w:spacing w:after="0" w:line="480" w:lineRule="auto"/>
        <w:jc w:val="both"/>
        <w:rPr>
          <w:rFonts w:ascii="Times New Roman" w:eastAsia="Times New Roman" w:hAnsi="Times New Roman" w:cs="Times New Roman"/>
          <w:sz w:val="24"/>
          <w:szCs w:val="24"/>
        </w:rPr>
      </w:pPr>
      <w:r w:rsidRPr="00311D57">
        <w:rPr>
          <w:rFonts w:ascii="Times New Roman" w:eastAsia="Times New Roman" w:hAnsi="Times New Roman" w:cs="Times New Roman"/>
          <w:i/>
          <w:iCs/>
          <w:color w:val="000000"/>
          <w:sz w:val="24"/>
          <w:szCs w:val="24"/>
          <w:shd w:val="clear" w:color="auto" w:fill="FFFFFF"/>
        </w:rPr>
        <w:t>FTC v. Neora LLC</w:t>
      </w:r>
      <w:r w:rsidRPr="00311D57">
        <w:rPr>
          <w:rFonts w:ascii="Times New Roman" w:eastAsia="Times New Roman" w:hAnsi="Times New Roman" w:cs="Times New Roman"/>
          <w:color w:val="000000"/>
          <w:sz w:val="24"/>
          <w:szCs w:val="24"/>
          <w:shd w:val="clear" w:color="auto" w:fill="FFFFFF"/>
        </w:rPr>
        <w:t xml:space="preserve">, 2023 U.S. Dist. LEXIS 217429, at *29-30 (N.D. Tex. Sep. 28, 2023)(quoting </w:t>
      </w:r>
      <w:r w:rsidRPr="00311D57">
        <w:rPr>
          <w:rFonts w:ascii="Times New Roman" w:eastAsia="Times New Roman" w:hAnsi="Times New Roman" w:cs="Times New Roman"/>
          <w:i/>
          <w:iCs/>
          <w:color w:val="000000"/>
          <w:sz w:val="24"/>
          <w:szCs w:val="24"/>
          <w:shd w:val="clear" w:color="auto" w:fill="FFFFFF"/>
        </w:rPr>
        <w:t>Torres v. S.G.E. Mgmt., L.L.C.</w:t>
      </w:r>
      <w:r w:rsidRPr="00311D57">
        <w:rPr>
          <w:rFonts w:ascii="Times New Roman" w:eastAsia="Times New Roman" w:hAnsi="Times New Roman" w:cs="Times New Roman"/>
          <w:color w:val="000000"/>
          <w:sz w:val="24"/>
          <w:szCs w:val="24"/>
          <w:shd w:val="clear" w:color="auto" w:fill="FFFFFF"/>
        </w:rPr>
        <w:t>, 838 F.3d 629, 638 (5th Cir. 2016)). Thus, a necessary element of proving a pyramid scheme is that the scheme fails due to saturation. Not only did the district court refuse to include a saturation instruction, it permitted the Government to prove a pyramid scheme where there was no risk of saturation, which is another way of saying that the Government was allowed to prove a pyramid scheme without proving the part that makes it fraudulent. This was</w:t>
      </w:r>
      <w:r w:rsidRPr="00311D57">
        <w:rPr>
          <w:rFonts w:ascii="Times New Roman" w:eastAsia="Times New Roman" w:hAnsi="Times New Roman" w:cs="Times New Roman"/>
          <w:color w:val="000000"/>
          <w:sz w:val="24"/>
          <w:szCs w:val="24"/>
          <w:shd w:val="clear" w:color="auto" w:fill="FFFF00"/>
        </w:rPr>
        <w:t xml:space="preserve"> an error.</w:t>
      </w:r>
    </w:p>
    <w:p w14:paraId="31F6B925" w14:textId="77777777" w:rsidR="00311D57" w:rsidRPr="00311D57" w:rsidRDefault="00311D57" w:rsidP="00311D57">
      <w:pPr>
        <w:spacing w:after="0" w:line="480" w:lineRule="auto"/>
        <w:jc w:val="both"/>
        <w:rPr>
          <w:rFonts w:ascii="Times New Roman" w:eastAsia="Times New Roman" w:hAnsi="Times New Roman" w:cs="Times New Roman"/>
          <w:sz w:val="24"/>
          <w:szCs w:val="24"/>
        </w:rPr>
      </w:pPr>
      <w:r w:rsidRPr="00311D57">
        <w:rPr>
          <w:rFonts w:ascii="Times New Roman" w:eastAsia="Times New Roman" w:hAnsi="Times New Roman" w:cs="Times New Roman"/>
          <w:b/>
          <w:bCs/>
          <w:color w:val="000000"/>
          <w:sz w:val="24"/>
          <w:szCs w:val="24"/>
          <w:shd w:val="clear" w:color="auto" w:fill="FFFFFF"/>
        </w:rPr>
        <w:t>Anti-Saturation Instruction</w:t>
      </w:r>
    </w:p>
    <w:p w14:paraId="61297EB5" w14:textId="77777777" w:rsidR="00311D57" w:rsidRPr="00311D57" w:rsidRDefault="00311D57" w:rsidP="00311D57">
      <w:pPr>
        <w:spacing w:after="0" w:line="480" w:lineRule="auto"/>
        <w:jc w:val="both"/>
        <w:rPr>
          <w:rFonts w:ascii="Times New Roman" w:eastAsia="Times New Roman" w:hAnsi="Times New Roman" w:cs="Times New Roman"/>
          <w:sz w:val="24"/>
          <w:szCs w:val="24"/>
        </w:rPr>
      </w:pPr>
      <w:r w:rsidRPr="00311D57">
        <w:rPr>
          <w:rFonts w:ascii="Times New Roman" w:eastAsia="Times New Roman" w:hAnsi="Times New Roman" w:cs="Times New Roman"/>
          <w:color w:val="000000"/>
          <w:sz w:val="24"/>
          <w:szCs w:val="24"/>
          <w:shd w:val="clear" w:color="auto" w:fill="FFFFFF"/>
        </w:rPr>
        <w:tab/>
        <w:t xml:space="preserve">At </w:t>
      </w:r>
      <w:r w:rsidRPr="00311D57">
        <w:rPr>
          <w:rFonts w:ascii="Times New Roman" w:eastAsia="Times New Roman" w:hAnsi="Times New Roman" w:cs="Times New Roman"/>
          <w:color w:val="000000"/>
          <w:sz w:val="24"/>
          <w:szCs w:val="24"/>
          <w:shd w:val="clear" w:color="auto" w:fill="FFFF00"/>
        </w:rPr>
        <w:t>a minimum</w:t>
      </w:r>
      <w:r w:rsidRPr="00311D57">
        <w:rPr>
          <w:rFonts w:ascii="Times New Roman" w:eastAsia="Times New Roman" w:hAnsi="Times New Roman" w:cs="Times New Roman"/>
          <w:color w:val="000000"/>
          <w:sz w:val="24"/>
          <w:szCs w:val="24"/>
          <w:shd w:val="clear" w:color="auto" w:fill="FFFFFF"/>
        </w:rPr>
        <w:t xml:space="preserve">, Hosseinipour was entitled to an anti-saturation instruction. The Government agrees that an anti-saturation instruction is a correct statement of law and may be given where the program </w:t>
      </w:r>
      <w:r w:rsidRPr="00311D57">
        <w:rPr>
          <w:rFonts w:ascii="Times New Roman" w:eastAsia="Times New Roman" w:hAnsi="Times New Roman" w:cs="Times New Roman"/>
          <w:color w:val="000000"/>
          <w:sz w:val="24"/>
          <w:szCs w:val="24"/>
          <w:shd w:val="clear" w:color="auto" w:fill="FFFF00"/>
        </w:rPr>
        <w:t xml:space="preserve">has </w:t>
      </w:r>
      <w:r w:rsidRPr="00311D57">
        <w:rPr>
          <w:rFonts w:ascii="Times New Roman" w:eastAsia="Times New Roman" w:hAnsi="Times New Roman" w:cs="Times New Roman"/>
          <w:color w:val="000000"/>
          <w:sz w:val="24"/>
          <w:szCs w:val="24"/>
          <w:shd w:val="clear" w:color="auto" w:fill="FFFFFF"/>
        </w:rPr>
        <w:t xml:space="preserve">adequate anti-saturation policies. (Br.127.) </w:t>
      </w:r>
      <w:r w:rsidRPr="00311D57">
        <w:rPr>
          <w:rFonts w:ascii="Times New Roman" w:eastAsia="Times New Roman" w:hAnsi="Times New Roman" w:cs="Times New Roman"/>
          <w:color w:val="000000"/>
          <w:sz w:val="24"/>
          <w:szCs w:val="24"/>
        </w:rPr>
        <w:t xml:space="preserve">The test is only whether </w:t>
      </w:r>
      <w:r w:rsidRPr="00311D57">
        <w:rPr>
          <w:rFonts w:ascii="Times New Roman" w:eastAsia="Times New Roman" w:hAnsi="Times New Roman" w:cs="Times New Roman"/>
          <w:color w:val="000000"/>
          <w:sz w:val="24"/>
          <w:szCs w:val="24"/>
        </w:rPr>
        <w:lastRenderedPageBreak/>
        <w:t xml:space="preserve">the defense finds “some support in the evidence and in the law.” </w:t>
      </w:r>
      <w:r w:rsidRPr="00311D57">
        <w:rPr>
          <w:rFonts w:ascii="Times New Roman" w:eastAsia="Times New Roman" w:hAnsi="Times New Roman" w:cs="Times New Roman"/>
          <w:i/>
          <w:iCs/>
          <w:color w:val="000000"/>
          <w:sz w:val="24"/>
          <w:szCs w:val="24"/>
        </w:rPr>
        <w:t>U.S. v. Wiseman</w:t>
      </w:r>
      <w:r w:rsidRPr="00311D57">
        <w:rPr>
          <w:rFonts w:ascii="Times New Roman" w:eastAsia="Times New Roman" w:hAnsi="Times New Roman" w:cs="Times New Roman"/>
          <w:color w:val="000000"/>
          <w:sz w:val="24"/>
          <w:szCs w:val="24"/>
        </w:rPr>
        <w:t>, 932 F.3d 411, 418 (6th Cir. 2019). Having conceded that the law supports it, the only issue becomes whether there was any evidentiary support. Hosseinipour easily meets this standard.</w:t>
      </w:r>
    </w:p>
    <w:p w14:paraId="0FEEBD6C" w14:textId="77777777" w:rsidR="00311D57" w:rsidRPr="00311D57" w:rsidRDefault="00311D57" w:rsidP="00311D57">
      <w:pPr>
        <w:spacing w:after="0" w:line="480" w:lineRule="auto"/>
        <w:ind w:firstLine="720"/>
        <w:jc w:val="both"/>
        <w:rPr>
          <w:rFonts w:ascii="Times New Roman" w:eastAsia="Times New Roman" w:hAnsi="Times New Roman" w:cs="Times New Roman"/>
          <w:sz w:val="24"/>
          <w:szCs w:val="24"/>
        </w:rPr>
      </w:pPr>
      <w:r w:rsidRPr="00311D57">
        <w:rPr>
          <w:rFonts w:ascii="Times New Roman" w:eastAsia="Times New Roman" w:hAnsi="Times New Roman" w:cs="Times New Roman"/>
          <w:color w:val="000000"/>
          <w:sz w:val="24"/>
          <w:szCs w:val="24"/>
          <w:shd w:val="clear" w:color="auto" w:fill="FFFFFF"/>
        </w:rPr>
        <w:t xml:space="preserve">The standard for an affirmative-defense instruction is not a heavy one. Weak evidence suffices. </w:t>
      </w:r>
      <w:r w:rsidRPr="00311D57">
        <w:rPr>
          <w:rFonts w:ascii="Times New Roman" w:eastAsia="Times New Roman" w:hAnsi="Times New Roman" w:cs="Times New Roman"/>
          <w:i/>
          <w:iCs/>
          <w:color w:val="000000"/>
          <w:sz w:val="24"/>
          <w:szCs w:val="24"/>
          <w:shd w:val="clear" w:color="auto" w:fill="FFFFFF"/>
        </w:rPr>
        <w:t>U.S. v. Clark</w:t>
      </w:r>
      <w:r w:rsidRPr="00311D57">
        <w:rPr>
          <w:rFonts w:ascii="Times New Roman" w:eastAsia="Times New Roman" w:hAnsi="Times New Roman" w:cs="Times New Roman"/>
          <w:color w:val="000000"/>
          <w:sz w:val="24"/>
          <w:szCs w:val="24"/>
          <w:shd w:val="clear" w:color="auto" w:fill="FFFFFF"/>
        </w:rPr>
        <w:t>, 485 F. App’x 816, 818 (6th Cir. 2012). Here, the evidence was robust. Despite the strong evidence that saturation was not an issue (indeed, the Government conceded it was not), the court still did not give Hosseinipour the requested instruction. </w:t>
      </w:r>
    </w:p>
    <w:p w14:paraId="54E59FA4" w14:textId="77777777" w:rsidR="00311D57" w:rsidRPr="00311D57" w:rsidRDefault="00311D57" w:rsidP="00311D57">
      <w:pPr>
        <w:spacing w:after="0" w:line="480" w:lineRule="auto"/>
        <w:ind w:firstLine="720"/>
        <w:jc w:val="both"/>
        <w:rPr>
          <w:rFonts w:ascii="Times New Roman" w:eastAsia="Times New Roman" w:hAnsi="Times New Roman" w:cs="Times New Roman"/>
          <w:sz w:val="24"/>
          <w:szCs w:val="24"/>
        </w:rPr>
      </w:pPr>
      <w:r w:rsidRPr="00311D57">
        <w:rPr>
          <w:rFonts w:ascii="Times New Roman" w:eastAsia="Times New Roman" w:hAnsi="Times New Roman" w:cs="Times New Roman"/>
          <w:color w:val="000000"/>
          <w:sz w:val="24"/>
          <w:szCs w:val="24"/>
          <w:shd w:val="clear" w:color="auto" w:fill="FFFFFF"/>
        </w:rPr>
        <w:t>At the end of the day, pyramid schemes are fraudulent because they are doomed to fail. Typically, they spend money to pay the people who joined before the new people, but the plans and actual practices of I2G differ significantly. The 5,000-person cap alone warranted an anti-saturation instruction. Significantly, the scheme charged and identified in the jury instructions was the sale of Emperor packages, not all product packages. The 5,000-person cap prevented the geometric progression that causes pyramid schemes to fail. </w:t>
      </w:r>
    </w:p>
    <w:p w14:paraId="082A3464" w14:textId="77777777" w:rsidR="00311D57" w:rsidRPr="00311D57" w:rsidRDefault="00311D57" w:rsidP="00311D57">
      <w:pPr>
        <w:spacing w:after="0" w:line="480" w:lineRule="auto"/>
        <w:ind w:firstLine="720"/>
        <w:jc w:val="both"/>
        <w:rPr>
          <w:rFonts w:ascii="Times New Roman" w:eastAsia="Times New Roman" w:hAnsi="Times New Roman" w:cs="Times New Roman"/>
          <w:sz w:val="24"/>
          <w:szCs w:val="24"/>
        </w:rPr>
      </w:pPr>
      <w:r w:rsidRPr="00311D57">
        <w:rPr>
          <w:rFonts w:ascii="Times New Roman" w:eastAsia="Times New Roman" w:hAnsi="Times New Roman" w:cs="Times New Roman"/>
          <w:color w:val="000000"/>
          <w:sz w:val="24"/>
          <w:szCs w:val="24"/>
          <w:shd w:val="clear" w:color="auto" w:fill="FFFFFF"/>
        </w:rPr>
        <w:t>However, the</w:t>
      </w:r>
      <w:r w:rsidRPr="00311D57">
        <w:rPr>
          <w:rFonts w:ascii="Times New Roman" w:eastAsia="Times New Roman" w:hAnsi="Times New Roman" w:cs="Times New Roman"/>
          <w:color w:val="000000"/>
          <w:sz w:val="24"/>
          <w:szCs w:val="24"/>
          <w:shd w:val="clear" w:color="auto" w:fill="FFFF00"/>
        </w:rPr>
        <w:t xml:space="preserve"> cap, </w:t>
      </w:r>
      <w:r w:rsidRPr="00311D57">
        <w:rPr>
          <w:rFonts w:ascii="Times New Roman" w:eastAsia="Times New Roman" w:hAnsi="Times New Roman" w:cs="Times New Roman"/>
          <w:color w:val="000000"/>
          <w:sz w:val="24"/>
          <w:szCs w:val="24"/>
          <w:shd w:val="clear" w:color="auto" w:fill="FFFFFF"/>
        </w:rPr>
        <w:t xml:space="preserve">combined with the fact that Emperors received casino </w:t>
      </w:r>
      <w:r w:rsidRPr="00311D57">
        <w:rPr>
          <w:rFonts w:ascii="Times New Roman" w:eastAsia="Times New Roman" w:hAnsi="Times New Roman" w:cs="Times New Roman"/>
          <w:color w:val="000000"/>
          <w:sz w:val="24"/>
          <w:szCs w:val="24"/>
          <w:shd w:val="clear" w:color="auto" w:fill="FFFF00"/>
        </w:rPr>
        <w:t>profits</w:t>
      </w:r>
      <w:r w:rsidRPr="00311D57">
        <w:rPr>
          <w:rFonts w:ascii="Times New Roman" w:eastAsia="Times New Roman" w:hAnsi="Times New Roman" w:cs="Times New Roman"/>
          <w:color w:val="000000"/>
          <w:sz w:val="24"/>
          <w:szCs w:val="24"/>
          <w:shd w:val="clear" w:color="auto" w:fill="FFFFFF"/>
        </w:rPr>
        <w:t xml:space="preserve"> </w:t>
      </w:r>
      <w:r w:rsidRPr="00311D57">
        <w:rPr>
          <w:rFonts w:ascii="Times New Roman" w:eastAsia="Times New Roman" w:hAnsi="Times New Roman" w:cs="Times New Roman"/>
          <w:color w:val="000000"/>
          <w:sz w:val="24"/>
          <w:szCs w:val="24"/>
          <w:shd w:val="clear" w:color="auto" w:fill="FFFF00"/>
        </w:rPr>
        <w:t xml:space="preserve">and could </w:t>
      </w:r>
      <w:r w:rsidRPr="00311D57">
        <w:rPr>
          <w:rFonts w:ascii="Times New Roman" w:eastAsia="Times New Roman" w:hAnsi="Times New Roman" w:cs="Times New Roman"/>
          <w:color w:val="000000"/>
          <w:sz w:val="24"/>
          <w:szCs w:val="24"/>
          <w:shd w:val="clear" w:color="auto" w:fill="FFFFFF"/>
        </w:rPr>
        <w:t xml:space="preserve">earn BV by driving traffic to the </w:t>
      </w:r>
      <w:r w:rsidRPr="00311D57">
        <w:rPr>
          <w:rFonts w:ascii="Times New Roman" w:eastAsia="Times New Roman" w:hAnsi="Times New Roman" w:cs="Times New Roman"/>
          <w:color w:val="000000"/>
          <w:sz w:val="24"/>
          <w:szCs w:val="24"/>
          <w:shd w:val="clear" w:color="auto" w:fill="FFFF00"/>
        </w:rPr>
        <w:t xml:space="preserve">casino, </w:t>
      </w:r>
      <w:r w:rsidRPr="00311D57">
        <w:rPr>
          <w:rFonts w:ascii="Times New Roman" w:eastAsia="Times New Roman" w:hAnsi="Times New Roman" w:cs="Times New Roman"/>
          <w:color w:val="000000"/>
          <w:sz w:val="24"/>
          <w:szCs w:val="24"/>
          <w:shd w:val="clear" w:color="auto" w:fill="FFFFFF"/>
        </w:rPr>
        <w:t xml:space="preserve">showed other measures to prevent saturation. Indeed, I2G structured its compensation plan by building customer transactions into how participants earned money. (R.497,#4048-49; R.505,#4551-52; </w:t>
      </w:r>
      <w:r w:rsidRPr="00311D57">
        <w:rPr>
          <w:rFonts w:ascii="Times New Roman" w:eastAsia="Times New Roman" w:hAnsi="Times New Roman" w:cs="Times New Roman"/>
          <w:i/>
          <w:iCs/>
          <w:color w:val="000000"/>
          <w:sz w:val="24"/>
          <w:szCs w:val="24"/>
          <w:shd w:val="clear" w:color="auto" w:fill="FFFFFF"/>
        </w:rPr>
        <w:t>see also</w:t>
      </w:r>
      <w:r w:rsidRPr="00311D57">
        <w:rPr>
          <w:rFonts w:ascii="Times New Roman" w:eastAsia="Times New Roman" w:hAnsi="Times New Roman" w:cs="Times New Roman"/>
          <w:color w:val="000000"/>
          <w:sz w:val="24"/>
          <w:szCs w:val="24"/>
          <w:shd w:val="clear" w:color="auto" w:fill="FFFFFF"/>
        </w:rPr>
        <w:t xml:space="preserve"> </w:t>
      </w:r>
      <w:r w:rsidRPr="00311D57">
        <w:rPr>
          <w:rFonts w:ascii="Times New Roman" w:eastAsia="Times New Roman" w:hAnsi="Times New Roman" w:cs="Times New Roman"/>
          <w:color w:val="000000"/>
          <w:sz w:val="24"/>
          <w:szCs w:val="24"/>
        </w:rPr>
        <w:t xml:space="preserve">App’x047; </w:t>
      </w:r>
      <w:r w:rsidRPr="00311D57">
        <w:rPr>
          <w:rFonts w:ascii="Times New Roman" w:eastAsia="Times New Roman" w:hAnsi="Times New Roman" w:cs="Times New Roman"/>
          <w:i/>
          <w:iCs/>
          <w:color w:val="000000"/>
          <w:sz w:val="24"/>
          <w:szCs w:val="24"/>
        </w:rPr>
        <w:t>see also</w:t>
      </w:r>
      <w:r w:rsidRPr="00311D57">
        <w:rPr>
          <w:rFonts w:ascii="Times New Roman" w:eastAsia="Times New Roman" w:hAnsi="Times New Roman" w:cs="Times New Roman"/>
          <w:color w:val="000000"/>
          <w:sz w:val="24"/>
          <w:szCs w:val="24"/>
        </w:rPr>
        <w:t xml:space="preserve"> App’x48,59,84, US-126801-02,468.) </w:t>
      </w:r>
      <w:r w:rsidRPr="00311D57">
        <w:rPr>
          <w:rFonts w:ascii="Times New Roman" w:eastAsia="Times New Roman" w:hAnsi="Times New Roman" w:cs="Times New Roman"/>
          <w:color w:val="000000"/>
          <w:sz w:val="24"/>
          <w:szCs w:val="24"/>
          <w:shd w:val="clear" w:color="auto" w:fill="FFFFFF"/>
        </w:rPr>
        <w:t xml:space="preserve">The innovative structure of receiving binary income based on the traffic IBOs drove to the casino was unheard of in the MLM industry, and even putting aside the various product packages offered by I2G, it ensured that a significant percentage of binary income would come directly from retail sales (casino chip transactions). </w:t>
      </w:r>
      <w:r w:rsidRPr="00311D57">
        <w:rPr>
          <w:rFonts w:ascii="Times New Roman" w:eastAsia="Times New Roman" w:hAnsi="Times New Roman" w:cs="Times New Roman"/>
          <w:i/>
          <w:iCs/>
          <w:color w:val="000000"/>
          <w:sz w:val="24"/>
          <w:szCs w:val="24"/>
          <w:shd w:val="clear" w:color="auto" w:fill="FFFFFF"/>
        </w:rPr>
        <w:t>Gold</w:t>
      </w:r>
      <w:r w:rsidRPr="00311D57">
        <w:rPr>
          <w:rFonts w:ascii="Times New Roman" w:eastAsia="Times New Roman" w:hAnsi="Times New Roman" w:cs="Times New Roman"/>
          <w:color w:val="000000"/>
          <w:sz w:val="24"/>
          <w:szCs w:val="24"/>
          <w:shd w:val="clear" w:color="auto" w:fill="FFFFFF"/>
        </w:rPr>
        <w:t>, 177 F.3d at 482 (anti-saturation instruction proper where compensation is tied to retail sales). Further, i</w:t>
      </w:r>
      <w:r w:rsidRPr="00311D57">
        <w:rPr>
          <w:rFonts w:ascii="Times New Roman" w:eastAsia="Times New Roman" w:hAnsi="Times New Roman" w:cs="Times New Roman"/>
          <w:color w:val="000000"/>
          <w:sz w:val="24"/>
          <w:szCs w:val="24"/>
        </w:rPr>
        <w:t>ndividuals could and did make money with fantasy sports. (R.690,#9467, 9500.)</w:t>
      </w:r>
    </w:p>
    <w:p w14:paraId="5628A3B0" w14:textId="71C6E78E" w:rsidR="00311D57" w:rsidRPr="00311D57" w:rsidRDefault="00311D57" w:rsidP="00311D57">
      <w:pPr>
        <w:spacing w:after="0" w:line="480" w:lineRule="auto"/>
        <w:ind w:firstLine="720"/>
        <w:jc w:val="both"/>
        <w:rPr>
          <w:rFonts w:ascii="Times New Roman" w:eastAsia="Times New Roman" w:hAnsi="Times New Roman" w:cs="Times New Roman"/>
          <w:sz w:val="24"/>
          <w:szCs w:val="24"/>
        </w:rPr>
      </w:pPr>
      <w:r w:rsidRPr="00311D57">
        <w:rPr>
          <w:rFonts w:ascii="Times New Roman" w:eastAsia="Times New Roman" w:hAnsi="Times New Roman" w:cs="Times New Roman"/>
          <w:color w:val="000000"/>
          <w:sz w:val="24"/>
          <w:szCs w:val="24"/>
          <w:shd w:val="clear" w:color="auto" w:fill="FFFFFF"/>
        </w:rPr>
        <w:lastRenderedPageBreak/>
        <w:t xml:space="preserve">I2G depended, in part, on the casino’s success, but that dependence is simply part of operating a business. The business failure was due to a decline in </w:t>
      </w:r>
      <w:r w:rsidRPr="00311D57">
        <w:rPr>
          <w:rFonts w:ascii="Times New Roman" w:eastAsia="Times New Roman" w:hAnsi="Times New Roman" w:cs="Times New Roman"/>
          <w:color w:val="000000"/>
          <w:sz w:val="24"/>
          <w:szCs w:val="24"/>
          <w:highlight w:val="yellow"/>
          <w:shd w:val="clear" w:color="auto" w:fill="FFFFFF"/>
        </w:rPr>
        <w:t xml:space="preserve">sales </w:t>
      </w:r>
      <w:r w:rsidR="002F3CE7" w:rsidRPr="002F3CE7">
        <w:rPr>
          <w:rFonts w:ascii="Times New Roman" w:eastAsia="Times New Roman" w:hAnsi="Times New Roman" w:cs="Times New Roman"/>
          <w:color w:val="000000"/>
          <w:sz w:val="24"/>
          <w:szCs w:val="24"/>
          <w:highlight w:val="yellow"/>
          <w:shd w:val="clear" w:color="auto" w:fill="FFFFFF"/>
        </w:rPr>
        <w:t>related to this prosecution</w:t>
      </w:r>
      <w:r w:rsidRPr="00311D57">
        <w:rPr>
          <w:rFonts w:ascii="Times New Roman" w:eastAsia="Times New Roman" w:hAnsi="Times New Roman" w:cs="Times New Roman"/>
          <w:color w:val="000000"/>
          <w:sz w:val="24"/>
          <w:szCs w:val="24"/>
          <w:shd w:val="clear" w:color="auto" w:fill="FFFFFF"/>
        </w:rPr>
        <w:t xml:space="preserve">, not because of saturation. Pampered Chef depends on sales of cookware; a decline in sales could cause the business to fail, but it does not mean that Warren Buffett is operating a pyramid scheme. </w:t>
      </w:r>
      <w:r w:rsidR="00703810" w:rsidRPr="00703810">
        <w:rPr>
          <w:rFonts w:ascii="Times New Roman" w:eastAsia="Times New Roman" w:hAnsi="Times New Roman" w:cs="Times New Roman"/>
          <w:color w:val="000000"/>
          <w:sz w:val="24"/>
          <w:szCs w:val="24"/>
          <w:highlight w:val="yellow"/>
          <w:shd w:val="clear" w:color="auto" w:fill="FFFFFF"/>
        </w:rPr>
        <w:t>Combined with these measures, various technological products</w:t>
      </w:r>
      <w:r w:rsidR="00703810">
        <w:rPr>
          <w:rFonts w:ascii="Times New Roman" w:eastAsia="Times New Roman" w:hAnsi="Times New Roman" w:cs="Times New Roman"/>
          <w:color w:val="000000"/>
          <w:sz w:val="24"/>
          <w:szCs w:val="24"/>
          <w:highlight w:val="yellow"/>
          <w:shd w:val="clear" w:color="auto" w:fill="FFFFFF"/>
        </w:rPr>
        <w:t>,</w:t>
      </w:r>
      <w:r w:rsidR="00703810" w:rsidRPr="00703810">
        <w:rPr>
          <w:rFonts w:ascii="Times New Roman" w:eastAsia="Times New Roman" w:hAnsi="Times New Roman" w:cs="Times New Roman"/>
          <w:color w:val="000000"/>
          <w:sz w:val="24"/>
          <w:szCs w:val="24"/>
          <w:highlight w:val="yellow"/>
          <w:shd w:val="clear" w:color="auto" w:fill="FFFFFF"/>
        </w:rPr>
        <w:t xml:space="preserve"> and the expansion of offerings, including travel and fantasy sports, I2G has</w:t>
      </w:r>
      <w:r w:rsidRPr="00311D57">
        <w:rPr>
          <w:rFonts w:ascii="Times New Roman" w:eastAsia="Times New Roman" w:hAnsi="Times New Roman" w:cs="Times New Roman"/>
          <w:color w:val="000000"/>
          <w:sz w:val="24"/>
          <w:szCs w:val="24"/>
          <w:highlight w:val="yellow"/>
          <w:shd w:val="clear" w:color="auto" w:fill="FFFFFF"/>
        </w:rPr>
        <w:t xml:space="preserve"> numerous safeguards against saturation.</w:t>
      </w:r>
    </w:p>
    <w:p w14:paraId="701C7C17" w14:textId="77777777" w:rsidR="00311D57" w:rsidRPr="00311D57" w:rsidRDefault="00311D57" w:rsidP="00311D57">
      <w:pPr>
        <w:spacing w:after="0" w:line="480" w:lineRule="auto"/>
        <w:ind w:firstLine="720"/>
        <w:jc w:val="both"/>
        <w:rPr>
          <w:rFonts w:ascii="Times New Roman" w:eastAsia="Times New Roman" w:hAnsi="Times New Roman" w:cs="Times New Roman"/>
          <w:sz w:val="24"/>
          <w:szCs w:val="24"/>
        </w:rPr>
      </w:pPr>
      <w:r w:rsidRPr="00311D57">
        <w:rPr>
          <w:rFonts w:ascii="Times New Roman" w:eastAsia="Times New Roman" w:hAnsi="Times New Roman" w:cs="Times New Roman"/>
          <w:color w:val="000000"/>
          <w:sz w:val="24"/>
          <w:szCs w:val="24"/>
          <w:shd w:val="clear" w:color="auto" w:fill="FFFFFF"/>
        </w:rPr>
        <w:t>In its brief, the Government takes on the role of the jury and finds $1.2 million of chip transactions and $360,000 of fantasy sports transactions as cosmetic. (Br.129.) However, the evidence presented a jury question, but without the proper instruction, the issue of saturation was never presented to the jury.</w:t>
      </w:r>
    </w:p>
    <w:p w14:paraId="0FD16071" w14:textId="77777777" w:rsidR="00311D57" w:rsidRPr="00311D57" w:rsidRDefault="00311D57" w:rsidP="00311D57">
      <w:pPr>
        <w:spacing w:after="0" w:line="480" w:lineRule="auto"/>
        <w:jc w:val="both"/>
        <w:rPr>
          <w:rFonts w:ascii="Times New Roman" w:eastAsia="Times New Roman" w:hAnsi="Times New Roman" w:cs="Times New Roman"/>
          <w:sz w:val="24"/>
          <w:szCs w:val="24"/>
        </w:rPr>
      </w:pPr>
      <w:r w:rsidRPr="00311D57">
        <w:rPr>
          <w:rFonts w:ascii="Times New Roman" w:eastAsia="Times New Roman" w:hAnsi="Times New Roman" w:cs="Times New Roman"/>
          <w:color w:val="000000"/>
          <w:sz w:val="24"/>
          <w:szCs w:val="24"/>
          <w:shd w:val="clear" w:color="auto" w:fill="FFFFFF"/>
        </w:rPr>
        <w:tab/>
      </w:r>
      <w:r w:rsidRPr="00311D57">
        <w:rPr>
          <w:rFonts w:ascii="Times New Roman" w:eastAsia="Times New Roman" w:hAnsi="Times New Roman" w:cs="Times New Roman"/>
          <w:color w:val="000000"/>
          <w:sz w:val="24"/>
          <w:szCs w:val="24"/>
        </w:rPr>
        <w:t xml:space="preserve">Reversal is then required “if it impairs the defendant's theory of the case and is not covered adequately by the instructions given.” </w:t>
      </w:r>
      <w:r w:rsidRPr="00311D57">
        <w:rPr>
          <w:rFonts w:ascii="Times New Roman" w:eastAsia="Times New Roman" w:hAnsi="Times New Roman" w:cs="Times New Roman"/>
          <w:i/>
          <w:iCs/>
          <w:color w:val="000000"/>
          <w:sz w:val="24"/>
          <w:szCs w:val="24"/>
        </w:rPr>
        <w:t>U.S. v. Wiseman</w:t>
      </w:r>
      <w:r w:rsidRPr="00311D57">
        <w:rPr>
          <w:rFonts w:ascii="Times New Roman" w:eastAsia="Times New Roman" w:hAnsi="Times New Roman" w:cs="Times New Roman"/>
          <w:color w:val="000000"/>
          <w:sz w:val="24"/>
          <w:szCs w:val="24"/>
        </w:rPr>
        <w:t xml:space="preserve">, 932 F.3d 411, 418 (6th Cir. 2019). </w:t>
      </w:r>
      <w:r w:rsidRPr="00311D57">
        <w:rPr>
          <w:rFonts w:ascii="Times New Roman" w:eastAsia="Times New Roman" w:hAnsi="Times New Roman" w:cs="Times New Roman"/>
          <w:color w:val="000000"/>
          <w:sz w:val="24"/>
          <w:szCs w:val="24"/>
          <w:shd w:val="clear" w:color="auto" w:fill="FFFFFF"/>
        </w:rPr>
        <w:t xml:space="preserve">The failure to give the affirmative defense instruction crippled her defense. Because Warren </w:t>
      </w:r>
      <w:r w:rsidRPr="00311D57">
        <w:rPr>
          <w:rFonts w:ascii="Times New Roman" w:eastAsia="Times New Roman" w:hAnsi="Times New Roman" w:cs="Times New Roman"/>
          <w:color w:val="000000"/>
          <w:sz w:val="24"/>
          <w:szCs w:val="24"/>
          <w:shd w:val="clear" w:color="auto" w:fill="FFFF00"/>
        </w:rPr>
        <w:t xml:space="preserve">was prevented </w:t>
      </w:r>
      <w:r w:rsidRPr="00311D57">
        <w:rPr>
          <w:rFonts w:ascii="Times New Roman" w:eastAsia="Times New Roman" w:hAnsi="Times New Roman" w:cs="Times New Roman"/>
          <w:color w:val="000000"/>
          <w:sz w:val="24"/>
          <w:szCs w:val="24"/>
          <w:shd w:val="clear" w:color="auto" w:fill="FFFFFF"/>
        </w:rPr>
        <w:t xml:space="preserve">from testifying regarding the anti-saturation measures, the jury did not hear from either Warren about how anti-saturation measures are a defense, and the instructions failed to inform the jury that proper anti-saturation measures are a complete defense. </w:t>
      </w:r>
      <w:r w:rsidRPr="00311D57">
        <w:rPr>
          <w:rFonts w:ascii="Times New Roman" w:eastAsia="Times New Roman" w:hAnsi="Times New Roman" w:cs="Times New Roman"/>
          <w:i/>
          <w:iCs/>
          <w:color w:val="000000"/>
          <w:sz w:val="24"/>
          <w:szCs w:val="24"/>
        </w:rPr>
        <w:t>In re Amway Corp.</w:t>
      </w:r>
      <w:r w:rsidRPr="00311D57">
        <w:rPr>
          <w:rFonts w:ascii="Times New Roman" w:eastAsia="Times New Roman" w:hAnsi="Times New Roman" w:cs="Times New Roman"/>
          <w:color w:val="000000"/>
          <w:sz w:val="24"/>
          <w:szCs w:val="24"/>
        </w:rPr>
        <w:t xml:space="preserve">, 93 F.T.C. 618 (1979); </w:t>
      </w:r>
      <w:r w:rsidRPr="00311D57">
        <w:rPr>
          <w:rFonts w:ascii="Times New Roman" w:eastAsia="Times New Roman" w:hAnsi="Times New Roman" w:cs="Times New Roman"/>
          <w:i/>
          <w:iCs/>
          <w:color w:val="000000"/>
          <w:sz w:val="24"/>
          <w:szCs w:val="24"/>
        </w:rPr>
        <w:t>Gold</w:t>
      </w:r>
      <w:r w:rsidRPr="00311D57">
        <w:rPr>
          <w:rFonts w:ascii="Times New Roman" w:eastAsia="Times New Roman" w:hAnsi="Times New Roman" w:cs="Times New Roman"/>
          <w:color w:val="000000"/>
          <w:sz w:val="24"/>
          <w:szCs w:val="24"/>
        </w:rPr>
        <w:t>, 177 F.3d 472, 482 (6th Cir. 1999) (“a defendant carr[ies] the burden of establishing that it has effective anti-saturation programs”). Hosseinipour was left unable to argue that the hallmarks of the I2G plan that enabled compensation from retail sales provided a full defense. </w:t>
      </w:r>
    </w:p>
    <w:p w14:paraId="6E6D79AF" w14:textId="77777777" w:rsidR="00311D57" w:rsidRPr="00311D57" w:rsidRDefault="00311D57" w:rsidP="00311D57">
      <w:pPr>
        <w:spacing w:after="0" w:line="480" w:lineRule="auto"/>
        <w:ind w:firstLine="720"/>
        <w:jc w:val="both"/>
        <w:rPr>
          <w:rFonts w:ascii="Times New Roman" w:eastAsia="Times New Roman" w:hAnsi="Times New Roman" w:cs="Times New Roman"/>
          <w:sz w:val="24"/>
          <w:szCs w:val="24"/>
        </w:rPr>
      </w:pPr>
      <w:r w:rsidRPr="00311D57">
        <w:rPr>
          <w:rFonts w:ascii="Times New Roman" w:eastAsia="Times New Roman" w:hAnsi="Times New Roman" w:cs="Times New Roman"/>
          <w:color w:val="000000"/>
          <w:sz w:val="24"/>
          <w:szCs w:val="24"/>
        </w:rPr>
        <w:t>None of the other instructions presented the defense to the jury. The Government correctly does not argue to the contrary. Indeed, the Government told the court that a related pyramid scheme definition did not require proof of saturation: </w:t>
      </w:r>
    </w:p>
    <w:p w14:paraId="78E215F9" w14:textId="77777777" w:rsidR="00311D57" w:rsidRPr="00311D57" w:rsidRDefault="00311D57" w:rsidP="00311D57">
      <w:pPr>
        <w:spacing w:after="0" w:line="240" w:lineRule="auto"/>
        <w:ind w:left="720" w:right="720"/>
        <w:jc w:val="both"/>
        <w:rPr>
          <w:rFonts w:ascii="Times New Roman" w:eastAsia="Times New Roman" w:hAnsi="Times New Roman" w:cs="Times New Roman"/>
          <w:sz w:val="24"/>
          <w:szCs w:val="24"/>
        </w:rPr>
      </w:pPr>
      <w:r w:rsidRPr="00311D57">
        <w:rPr>
          <w:rFonts w:ascii="Times New Roman" w:eastAsia="Times New Roman" w:hAnsi="Times New Roman" w:cs="Times New Roman"/>
          <w:color w:val="000000"/>
          <w:sz w:val="24"/>
          <w:szCs w:val="24"/>
        </w:rPr>
        <w:lastRenderedPageBreak/>
        <w:t xml:space="preserve">Instead, the United States plans to show that I2G is a pyramid scheme—not because of any saturation problem, but rather because I2G’s scheme meets the definition approved in </w:t>
      </w:r>
      <w:r w:rsidRPr="00311D57">
        <w:rPr>
          <w:rFonts w:ascii="Times New Roman" w:eastAsia="Times New Roman" w:hAnsi="Times New Roman" w:cs="Times New Roman"/>
          <w:i/>
          <w:iCs/>
          <w:color w:val="000000"/>
          <w:sz w:val="24"/>
          <w:szCs w:val="24"/>
        </w:rPr>
        <w:t>BurnLounge</w:t>
      </w:r>
      <w:r w:rsidRPr="00311D57">
        <w:rPr>
          <w:rFonts w:ascii="Times New Roman" w:eastAsia="Times New Roman" w:hAnsi="Times New Roman" w:cs="Times New Roman"/>
          <w:color w:val="000000"/>
          <w:sz w:val="24"/>
          <w:szCs w:val="24"/>
        </w:rPr>
        <w:t>: </w:t>
      </w:r>
    </w:p>
    <w:p w14:paraId="1471E4C6" w14:textId="77777777" w:rsidR="00311D57" w:rsidRPr="00311D57" w:rsidRDefault="00311D57" w:rsidP="00311D57">
      <w:pPr>
        <w:spacing w:after="0" w:line="240" w:lineRule="auto"/>
        <w:rPr>
          <w:rFonts w:ascii="Times New Roman" w:eastAsia="Times New Roman" w:hAnsi="Times New Roman" w:cs="Times New Roman"/>
          <w:sz w:val="24"/>
          <w:szCs w:val="24"/>
        </w:rPr>
      </w:pPr>
    </w:p>
    <w:p w14:paraId="70624862" w14:textId="77777777" w:rsidR="00311D57" w:rsidRPr="00311D57" w:rsidRDefault="00311D57" w:rsidP="00311D57">
      <w:pPr>
        <w:spacing w:after="0" w:line="240" w:lineRule="auto"/>
        <w:ind w:left="720" w:right="720"/>
        <w:jc w:val="both"/>
        <w:rPr>
          <w:rFonts w:ascii="Times New Roman" w:eastAsia="Times New Roman" w:hAnsi="Times New Roman" w:cs="Times New Roman"/>
          <w:sz w:val="24"/>
          <w:szCs w:val="24"/>
        </w:rPr>
      </w:pPr>
      <w:r w:rsidRPr="00311D57">
        <w:rPr>
          <w:rFonts w:ascii="Times New Roman" w:eastAsia="Times New Roman" w:hAnsi="Times New Roman" w:cs="Times New Roman"/>
          <w:color w:val="000000"/>
          <w:sz w:val="24"/>
          <w:szCs w:val="24"/>
        </w:rPr>
        <w:t>“[A] pyramid scheme is an organization in which the participants obtain their money rewards primarily through enrolling new people into the program rather than selling goods and services to the public.” </w:t>
      </w:r>
    </w:p>
    <w:p w14:paraId="057FCA3F" w14:textId="77777777" w:rsidR="00311D57" w:rsidRPr="00311D57" w:rsidRDefault="00311D57" w:rsidP="00311D57">
      <w:pPr>
        <w:spacing w:after="0" w:line="240" w:lineRule="auto"/>
        <w:rPr>
          <w:rFonts w:ascii="Times New Roman" w:eastAsia="Times New Roman" w:hAnsi="Times New Roman" w:cs="Times New Roman"/>
          <w:sz w:val="24"/>
          <w:szCs w:val="24"/>
        </w:rPr>
      </w:pPr>
    </w:p>
    <w:p w14:paraId="127E8312" w14:textId="77777777" w:rsidR="00311D57" w:rsidRPr="00311D57" w:rsidRDefault="00311D57" w:rsidP="00311D57">
      <w:pPr>
        <w:spacing w:after="0" w:line="480" w:lineRule="auto"/>
        <w:jc w:val="both"/>
        <w:rPr>
          <w:rFonts w:ascii="Times New Roman" w:eastAsia="Times New Roman" w:hAnsi="Times New Roman" w:cs="Times New Roman"/>
          <w:sz w:val="24"/>
          <w:szCs w:val="24"/>
        </w:rPr>
      </w:pPr>
      <w:r w:rsidRPr="00311D57">
        <w:rPr>
          <w:rFonts w:ascii="Times New Roman" w:eastAsia="Times New Roman" w:hAnsi="Times New Roman" w:cs="Times New Roman"/>
          <w:color w:val="000000"/>
          <w:sz w:val="24"/>
          <w:szCs w:val="24"/>
        </w:rPr>
        <w:t xml:space="preserve">(R.381,#2923 quoting </w:t>
      </w:r>
      <w:r w:rsidRPr="00311D57">
        <w:rPr>
          <w:rFonts w:ascii="Times New Roman" w:eastAsia="Times New Roman" w:hAnsi="Times New Roman" w:cs="Times New Roman"/>
          <w:i/>
          <w:iCs/>
          <w:color w:val="000000"/>
          <w:sz w:val="24"/>
          <w:szCs w:val="24"/>
        </w:rPr>
        <w:t>BurnLounge</w:t>
      </w:r>
      <w:r w:rsidRPr="00311D57">
        <w:rPr>
          <w:rFonts w:ascii="Times New Roman" w:eastAsia="Times New Roman" w:hAnsi="Times New Roman" w:cs="Times New Roman"/>
          <w:color w:val="000000"/>
          <w:sz w:val="24"/>
          <w:szCs w:val="24"/>
        </w:rPr>
        <w:t xml:space="preserve">, 753 F.3d at 889.) The Government also told this Court that saturation is not an element of a pyramid-scheme prosecution. (Br.36.) The evidence and law </w:t>
      </w:r>
      <w:r w:rsidRPr="00311D57">
        <w:rPr>
          <w:rFonts w:ascii="Times New Roman" w:eastAsia="Times New Roman" w:hAnsi="Times New Roman" w:cs="Times New Roman"/>
          <w:color w:val="000000"/>
          <w:sz w:val="24"/>
          <w:szCs w:val="24"/>
          <w:shd w:val="clear" w:color="auto" w:fill="FFFF00"/>
        </w:rPr>
        <w:t xml:space="preserve">support </w:t>
      </w:r>
      <w:r w:rsidRPr="00311D57">
        <w:rPr>
          <w:rFonts w:ascii="Times New Roman" w:eastAsia="Times New Roman" w:hAnsi="Times New Roman" w:cs="Times New Roman"/>
          <w:color w:val="000000"/>
          <w:sz w:val="24"/>
          <w:szCs w:val="24"/>
        </w:rPr>
        <w:t>the anti-saturation defense. Additionally, Hosseinipour’s defense was impaired and was not covered by the instructions given, so reversal is required.</w:t>
      </w:r>
    </w:p>
    <w:p w14:paraId="4AA155C6" w14:textId="77777777" w:rsidR="00B35C9F" w:rsidRDefault="00B35C9F"/>
    <w:sectPr w:rsidR="00B35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57"/>
    <w:rsid w:val="002F3CE7"/>
    <w:rsid w:val="00311D57"/>
    <w:rsid w:val="00473C6D"/>
    <w:rsid w:val="0048784E"/>
    <w:rsid w:val="00703810"/>
    <w:rsid w:val="008E035C"/>
    <w:rsid w:val="009A0E10"/>
    <w:rsid w:val="00A36015"/>
    <w:rsid w:val="00B35C9F"/>
    <w:rsid w:val="00BA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C00B6"/>
  <w15:chartTrackingRefBased/>
  <w15:docId w15:val="{6BFC3D3C-70B3-4A1C-A087-0D37D1D7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1405</Words>
  <Characters>7518</Characters>
  <Application>Microsoft Office Word</Application>
  <DocSecurity>0</DocSecurity>
  <Lines>108</Lines>
  <Paragraphs>18</Paragraphs>
  <ScaleCrop>false</ScaleCrop>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Faraday Hosseinipour</cp:lastModifiedBy>
  <cp:revision>6</cp:revision>
  <dcterms:created xsi:type="dcterms:W3CDTF">2024-04-19T20:14:00Z</dcterms:created>
  <dcterms:modified xsi:type="dcterms:W3CDTF">2024-04-19T20:42:00Z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6d77df96-6967-4c4a-99f1-ee67e6749ccf</vt:lpwstr>
  </property>
</Properties>
</file>